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22BE" w14:textId="77777777" w:rsidR="00E27216" w:rsidRDefault="00E27216" w:rsidP="00644F60">
      <w:pPr>
        <w:jc w:val="both"/>
        <w:rPr>
          <w:rFonts w:ascii="Times New Roman" w:hAnsi="Times New Roman" w:cs="Times New Roman"/>
          <w:sz w:val="28"/>
          <w:szCs w:val="28"/>
        </w:rPr>
      </w:pPr>
    </w:p>
    <w:p w14:paraId="522FF5E9" w14:textId="77777777" w:rsidR="00AC61DD" w:rsidRDefault="00AC61DD" w:rsidP="00644F60">
      <w:pPr>
        <w:spacing w:after="0"/>
        <w:jc w:val="both"/>
        <w:rPr>
          <w:rFonts w:ascii="Times New Roman" w:hAnsi="Times New Roman" w:cs="Times New Roman"/>
          <w:sz w:val="28"/>
          <w:szCs w:val="28"/>
        </w:rPr>
      </w:pPr>
    </w:p>
    <w:p w14:paraId="7DDF51E9" w14:textId="11D60D91" w:rsidR="000C2053" w:rsidRPr="00C31ACB" w:rsidRDefault="000C2053" w:rsidP="00644F60">
      <w:pPr>
        <w:spacing w:after="0"/>
        <w:jc w:val="both"/>
        <w:rPr>
          <w:rFonts w:ascii="Times New Roman" w:hAnsi="Times New Roman" w:cs="Times New Roman"/>
          <w:b/>
          <w:bCs/>
          <w:sz w:val="28"/>
          <w:szCs w:val="28"/>
        </w:rPr>
      </w:pPr>
      <w:r w:rsidRPr="00C31ACB">
        <w:rPr>
          <w:rFonts w:ascii="Times New Roman" w:hAnsi="Times New Roman" w:cs="Times New Roman"/>
          <w:b/>
          <w:bCs/>
          <w:sz w:val="28"/>
          <w:szCs w:val="28"/>
        </w:rPr>
        <w:t>ROMÂNIA</w:t>
      </w:r>
      <w:r>
        <w:rPr>
          <w:rFonts w:ascii="Times New Roman" w:hAnsi="Times New Roman" w:cs="Times New Roman"/>
          <w:b/>
          <w:bCs/>
          <w:sz w:val="28"/>
          <w:szCs w:val="28"/>
        </w:rPr>
        <w:t xml:space="preserve">                                                                                       </w:t>
      </w:r>
    </w:p>
    <w:p w14:paraId="7B565346" w14:textId="44D1E565" w:rsidR="000C2053" w:rsidRPr="00C31ACB" w:rsidRDefault="000C2053" w:rsidP="00644F60">
      <w:pPr>
        <w:spacing w:after="0"/>
        <w:jc w:val="both"/>
        <w:rPr>
          <w:rFonts w:ascii="Times New Roman" w:hAnsi="Times New Roman" w:cs="Times New Roman"/>
          <w:b/>
          <w:bCs/>
          <w:sz w:val="28"/>
          <w:szCs w:val="28"/>
        </w:rPr>
      </w:pPr>
      <w:r w:rsidRPr="00C31ACB">
        <w:rPr>
          <w:rFonts w:ascii="Times New Roman" w:hAnsi="Times New Roman" w:cs="Times New Roman"/>
          <w:b/>
          <w:bCs/>
          <w:sz w:val="28"/>
          <w:szCs w:val="28"/>
        </w:rPr>
        <w:t>JUDEȚUL VRANCEA</w:t>
      </w:r>
      <w:r w:rsidRPr="005B6B43">
        <w:rPr>
          <w:rFonts w:ascii="Times New Roman" w:hAnsi="Times New Roman" w:cs="Times New Roman"/>
          <w:b/>
          <w:bCs/>
          <w:sz w:val="28"/>
          <w:szCs w:val="28"/>
        </w:rPr>
        <w:t xml:space="preserve"> </w:t>
      </w:r>
      <w:r>
        <w:rPr>
          <w:rFonts w:ascii="Times New Roman" w:hAnsi="Times New Roman" w:cs="Times New Roman"/>
          <w:b/>
          <w:bCs/>
          <w:sz w:val="28"/>
          <w:szCs w:val="28"/>
        </w:rPr>
        <w:t xml:space="preserve">                                                          Anexa nr. </w:t>
      </w:r>
      <w:r w:rsidR="002979E4">
        <w:rPr>
          <w:rFonts w:ascii="Times New Roman" w:hAnsi="Times New Roman" w:cs="Times New Roman"/>
          <w:b/>
          <w:bCs/>
          <w:sz w:val="28"/>
          <w:szCs w:val="28"/>
        </w:rPr>
        <w:t>1</w:t>
      </w:r>
    </w:p>
    <w:p w14:paraId="39C5998B" w14:textId="17CC0912" w:rsidR="000C2053" w:rsidRPr="00C31ACB" w:rsidRDefault="000C2053" w:rsidP="00644F60">
      <w:pPr>
        <w:spacing w:after="0"/>
        <w:jc w:val="both"/>
        <w:rPr>
          <w:rFonts w:ascii="Times New Roman" w:hAnsi="Times New Roman" w:cs="Times New Roman"/>
          <w:b/>
          <w:bCs/>
          <w:sz w:val="28"/>
          <w:szCs w:val="28"/>
        </w:rPr>
      </w:pPr>
      <w:r w:rsidRPr="00C31ACB">
        <w:rPr>
          <w:rFonts w:ascii="Times New Roman" w:hAnsi="Times New Roman" w:cs="Times New Roman"/>
          <w:b/>
          <w:bCs/>
          <w:sz w:val="28"/>
          <w:szCs w:val="28"/>
        </w:rPr>
        <w:t>CONSILIUL JUDEȚEAN</w:t>
      </w:r>
      <w:r w:rsidRPr="005E17D4">
        <w:rPr>
          <w:rFonts w:ascii="Times New Roman" w:hAnsi="Times New Roman" w:cs="Times New Roman"/>
          <w:b/>
          <w:bCs/>
          <w:sz w:val="28"/>
          <w:szCs w:val="28"/>
        </w:rPr>
        <w:t xml:space="preserve"> </w:t>
      </w:r>
      <w:r>
        <w:rPr>
          <w:rFonts w:ascii="Times New Roman" w:hAnsi="Times New Roman" w:cs="Times New Roman"/>
          <w:b/>
          <w:bCs/>
          <w:sz w:val="28"/>
          <w:szCs w:val="28"/>
        </w:rPr>
        <w:t xml:space="preserve">                         la Hotărârea nr. </w:t>
      </w:r>
      <w:r w:rsidR="00356AE9">
        <w:rPr>
          <w:rFonts w:ascii="Times New Roman" w:hAnsi="Times New Roman" w:cs="Times New Roman"/>
          <w:b/>
          <w:bCs/>
          <w:sz w:val="28"/>
          <w:szCs w:val="28"/>
        </w:rPr>
        <w:t>244 din 09.10.2026</w:t>
      </w:r>
      <w:r>
        <w:rPr>
          <w:rFonts w:ascii="Times New Roman" w:hAnsi="Times New Roman" w:cs="Times New Roman"/>
          <w:b/>
          <w:bCs/>
          <w:sz w:val="28"/>
          <w:szCs w:val="28"/>
        </w:rPr>
        <w:t xml:space="preserve">     </w:t>
      </w:r>
    </w:p>
    <w:p w14:paraId="0304C15E" w14:textId="77777777" w:rsidR="009B2955" w:rsidRPr="009B2955" w:rsidRDefault="009B2955" w:rsidP="00644F60">
      <w:pPr>
        <w:jc w:val="both"/>
        <w:rPr>
          <w:rFonts w:ascii="Times New Roman" w:hAnsi="Times New Roman" w:cs="Times New Roman"/>
          <w:sz w:val="28"/>
          <w:szCs w:val="28"/>
        </w:rPr>
      </w:pPr>
    </w:p>
    <w:p w14:paraId="4AEBFC75" w14:textId="77777777" w:rsidR="009B2955" w:rsidRPr="009B2955" w:rsidRDefault="009B2955" w:rsidP="00644F60">
      <w:pPr>
        <w:jc w:val="center"/>
        <w:rPr>
          <w:rFonts w:ascii="Times New Roman" w:hAnsi="Times New Roman" w:cs="Times New Roman"/>
          <w:sz w:val="28"/>
          <w:szCs w:val="28"/>
        </w:rPr>
      </w:pPr>
    </w:p>
    <w:p w14:paraId="5A40FCCE" w14:textId="77777777" w:rsidR="009B2955" w:rsidRPr="000C2053" w:rsidRDefault="009B2955" w:rsidP="00644F60">
      <w:pPr>
        <w:spacing w:after="0"/>
        <w:jc w:val="center"/>
        <w:rPr>
          <w:rFonts w:ascii="Times New Roman" w:hAnsi="Times New Roman" w:cs="Times New Roman"/>
          <w:b/>
          <w:bCs/>
          <w:sz w:val="28"/>
          <w:szCs w:val="28"/>
        </w:rPr>
      </w:pPr>
      <w:r w:rsidRPr="000C2053">
        <w:rPr>
          <w:rFonts w:ascii="Times New Roman" w:hAnsi="Times New Roman" w:cs="Times New Roman"/>
          <w:b/>
          <w:bCs/>
          <w:sz w:val="28"/>
          <w:szCs w:val="28"/>
        </w:rPr>
        <w:t>REGULAMENT</w:t>
      </w:r>
    </w:p>
    <w:p w14:paraId="3F90B3D1" w14:textId="1D51427A" w:rsidR="00DB2B0F" w:rsidRDefault="009B2955" w:rsidP="00644F60">
      <w:pPr>
        <w:spacing w:after="0"/>
        <w:jc w:val="center"/>
        <w:rPr>
          <w:rFonts w:ascii="Times New Roman" w:hAnsi="Times New Roman" w:cs="Times New Roman"/>
          <w:b/>
          <w:bCs/>
          <w:sz w:val="28"/>
          <w:szCs w:val="28"/>
        </w:rPr>
      </w:pPr>
      <w:r w:rsidRPr="000C2053">
        <w:rPr>
          <w:rFonts w:ascii="Times New Roman" w:hAnsi="Times New Roman" w:cs="Times New Roman"/>
          <w:b/>
          <w:bCs/>
          <w:sz w:val="28"/>
          <w:szCs w:val="28"/>
        </w:rPr>
        <w:t>de organizare și funcționare a</w:t>
      </w:r>
      <w:r w:rsidR="00644F60">
        <w:rPr>
          <w:rFonts w:ascii="Times New Roman" w:hAnsi="Times New Roman" w:cs="Times New Roman"/>
          <w:b/>
          <w:bCs/>
          <w:sz w:val="28"/>
          <w:szCs w:val="28"/>
        </w:rPr>
        <w:t>l</w:t>
      </w:r>
      <w:r w:rsidRPr="000C2053">
        <w:rPr>
          <w:rFonts w:ascii="Times New Roman" w:hAnsi="Times New Roman" w:cs="Times New Roman"/>
          <w:b/>
          <w:bCs/>
          <w:sz w:val="28"/>
          <w:szCs w:val="28"/>
        </w:rPr>
        <w:t xml:space="preserve"> </w:t>
      </w:r>
      <w:r w:rsidR="00644F60" w:rsidRPr="00644F60">
        <w:rPr>
          <w:rFonts w:ascii="Times New Roman" w:hAnsi="Times New Roman" w:cs="Times New Roman"/>
          <w:b/>
          <w:bCs/>
          <w:sz w:val="28"/>
          <w:szCs w:val="28"/>
        </w:rPr>
        <w:t xml:space="preserve">Comisiei </w:t>
      </w:r>
      <w:r w:rsidR="00DE1FE4">
        <w:rPr>
          <w:rFonts w:ascii="Times New Roman" w:hAnsi="Times New Roman" w:cs="Times New Roman"/>
          <w:b/>
          <w:bCs/>
          <w:sz w:val="28"/>
          <w:szCs w:val="28"/>
        </w:rPr>
        <w:t>d</w:t>
      </w:r>
      <w:r w:rsidR="00644F60" w:rsidRPr="00644F60">
        <w:rPr>
          <w:rFonts w:ascii="Times New Roman" w:hAnsi="Times New Roman" w:cs="Times New Roman"/>
          <w:b/>
          <w:bCs/>
          <w:sz w:val="28"/>
          <w:szCs w:val="28"/>
        </w:rPr>
        <w:t>e Acord Unic</w:t>
      </w:r>
      <w:r w:rsidR="00644F60">
        <w:rPr>
          <w:rFonts w:ascii="Times New Roman" w:hAnsi="Times New Roman" w:cs="Times New Roman"/>
          <w:b/>
          <w:bCs/>
          <w:sz w:val="28"/>
          <w:szCs w:val="28"/>
        </w:rPr>
        <w:t xml:space="preserve"> de la nivelul județului Vrancea</w:t>
      </w:r>
    </w:p>
    <w:p w14:paraId="2C1FC913" w14:textId="77777777" w:rsidR="00644F60" w:rsidRDefault="00644F60" w:rsidP="00644F60">
      <w:pPr>
        <w:spacing w:after="0"/>
        <w:jc w:val="both"/>
        <w:rPr>
          <w:rFonts w:ascii="Times New Roman" w:hAnsi="Times New Roman" w:cs="Times New Roman"/>
          <w:b/>
          <w:bCs/>
          <w:sz w:val="28"/>
          <w:szCs w:val="28"/>
        </w:rPr>
      </w:pPr>
    </w:p>
    <w:p w14:paraId="405D0FD7" w14:textId="77777777" w:rsidR="00484F12" w:rsidRDefault="00484F12" w:rsidP="00644F60">
      <w:pPr>
        <w:spacing w:after="0"/>
        <w:jc w:val="both"/>
        <w:rPr>
          <w:rFonts w:ascii="Times New Roman" w:hAnsi="Times New Roman" w:cs="Times New Roman"/>
          <w:b/>
          <w:bCs/>
          <w:sz w:val="28"/>
          <w:szCs w:val="28"/>
        </w:rPr>
      </w:pPr>
    </w:p>
    <w:p w14:paraId="74CE041D" w14:textId="7A3FB614"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I</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DISPOZIȚII GENERALE</w:t>
      </w:r>
    </w:p>
    <w:p w14:paraId="77E3FE0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E80BFDA" w14:textId="7A93A43A"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Art. 1. Obiectul regulamentului</w:t>
      </w:r>
    </w:p>
    <w:p w14:paraId="4C4CD6A7" w14:textId="6E16234D"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 xml:space="preserve">Prezentul regulament stabilește organizarea, componența, atribuțiile și modul de funcționare a Comisiei de acord unic a județului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denumită în continuare Comisia, constituită în temeiul art. 305 alin. (1) din Legea nr. 169/2026 privind Codul amenajării teritoriului, urbanismului și construcțiilor, denumită în continuare Codul.</w:t>
      </w:r>
    </w:p>
    <w:p w14:paraId="5DA3DA44" w14:textId="5802DCBB" w:rsidR="002979E4"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 xml:space="preserve">Comisia funcționează pe lângă Consiliul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în cadrul structurii de specialitate condusă de arhitectul-șef al județului, care asigură organizarea și funcționarea acesteia potrivit art. 118 alin. (2) lit. u) din Cod, iar conducerea și secretariatul sunt asigurate potrivit art. 7 și 8 din regulament.</w:t>
      </w:r>
    </w:p>
    <w:p w14:paraId="616C6A4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Comisia are caracter permanent, potrivit art. 307 alin. (6) din Cod, și emite acordul unic, care atestă obținerea, prin intermediul său, a avizelor și acordurilor individuale ale instituțiilor și operatorilor membri, în condițiile art. 266, art. 269 și art. 306 lit. d) din Cod.</w:t>
      </w:r>
    </w:p>
    <w:p w14:paraId="17371CB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Obținerea avizelor și acordurilor prin intermediul Comisiei este o procedură opțională, la alegerea solicitantului, potrivit art. 269 alin. (1) din Cod. Solicitantul care nu optează pentru această procedură obține avizele și acordurile direct de la fiecare instituție sau operator emitent, care le eliberează în termenele prevăzute la art. 269 alin. (9) din Cod.</w:t>
      </w:r>
    </w:p>
    <w:p w14:paraId="38562F70"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Comisia nu se substituie competenței legale și răspunderii fiecărui emitent de aviz sau acord. Fiecare instituție și fiecare operator răspunde pentru analiza documentației în domeniul propriu de competență, pentru legalitatea, fundamentarea și conținutul actului emis. Acordul unic atestă parcurgerea procedurii și centralizează actele emise, fără a-și însuși conținutul acestora.</w:t>
      </w:r>
    </w:p>
    <w:p w14:paraId="6328308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5D66BF0A" w14:textId="45004E38"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 xml:space="preserve">Art. </w:t>
      </w:r>
      <w:r w:rsidR="008E4D43">
        <w:rPr>
          <w:rFonts w:ascii="Times New Roman" w:eastAsia="Times New Roman" w:hAnsi="Times New Roman" w:cs="Times New Roman"/>
          <w:b/>
          <w:bCs/>
          <w:kern w:val="0"/>
          <w:sz w:val="28"/>
          <w:szCs w:val="24"/>
          <w:lang w:eastAsia="ro-RO"/>
          <w14:ligatures w14:val="none"/>
        </w:rPr>
        <w:t>2</w:t>
      </w:r>
      <w:r w:rsidRPr="00EB76A1">
        <w:rPr>
          <w:rFonts w:ascii="Times New Roman" w:eastAsia="Times New Roman" w:hAnsi="Times New Roman" w:cs="Times New Roman"/>
          <w:b/>
          <w:bCs/>
          <w:kern w:val="0"/>
          <w:sz w:val="28"/>
          <w:szCs w:val="24"/>
          <w:lang w:eastAsia="ro-RO"/>
          <w14:ligatures w14:val="none"/>
        </w:rPr>
        <w:t>. Definiții</w:t>
      </w:r>
    </w:p>
    <w:p w14:paraId="49BBDD4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În sensul prezentului regulament, termenii de mai jos au următorul înțeles:</w:t>
      </w:r>
    </w:p>
    <w:p w14:paraId="472546F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 xml:space="preserve">documentație - proiectul pentru autorizarea construirii, proiectul urbanistic de detaliu și, după caz, documentațiile complementare necesare emiterii avizelor </w:t>
      </w:r>
      <w:r w:rsidRPr="00EB76A1">
        <w:rPr>
          <w:rFonts w:ascii="Times New Roman" w:eastAsia="Times New Roman" w:hAnsi="Times New Roman" w:cs="Times New Roman"/>
          <w:kern w:val="0"/>
          <w:sz w:val="28"/>
          <w:szCs w:val="24"/>
          <w:lang w:eastAsia="ro-RO"/>
          <w14:ligatures w14:val="none"/>
        </w:rPr>
        <w:lastRenderedPageBreak/>
        <w:t>și acordurilor solicitate prin certificatul de urbanism, cu conținutul-cadru stabilit potrivit legii de fiecare instituție sau operator emitent;</w:t>
      </w:r>
    </w:p>
    <w:p w14:paraId="7C2108F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solicitant - beneficiarul care a optat pentru obținerea avizelor și acordurilor prin intermediul Comisiei;</w:t>
      </w:r>
    </w:p>
    <w:p w14:paraId="1A62AAC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membru - reprezentantul desemnat de conducătorul instituției sau al operatorului prevăzut la art. 5 din regulament, titular sau supleant;</w:t>
      </w:r>
    </w:p>
    <w:p w14:paraId="563E584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aviz/acord individual - actul de avizare emis, în domeniul propriu de competență, de fiecare instituție sau operator membru al Comisiei, în una dintre formele prevăzute la art. 13 alin. (1);</w:t>
      </w:r>
    </w:p>
    <w:p w14:paraId="30CC85C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aviz obținut independent - avizul sau acordul care, potrivit art. 3 alin. (3), nu se obține prin Comisie și pe care solicitantul îl obține direct de la emitent;</w:t>
      </w:r>
    </w:p>
    <w:p w14:paraId="3135577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f)</w:t>
      </w:r>
      <w:r w:rsidRPr="00EB76A1">
        <w:rPr>
          <w:rFonts w:ascii="Times New Roman" w:eastAsia="Times New Roman" w:hAnsi="Times New Roman" w:cs="Times New Roman"/>
          <w:kern w:val="0"/>
          <w:sz w:val="28"/>
          <w:szCs w:val="24"/>
          <w:lang w:eastAsia="ro-RO"/>
          <w14:ligatures w14:val="none"/>
        </w:rPr>
        <w:tab/>
        <w:t>acord unic - actul unic emis de Comisie, prin care se atestă obținerea sau considerarea ca obținute prin acord tacit a avizelor și acordurilor individuale aflate în perimetrul opțiunii prevăzut la art. 3 alin. (4);</w:t>
      </w:r>
    </w:p>
    <w:p w14:paraId="666A770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g)</w:t>
      </w:r>
      <w:r w:rsidRPr="00EB76A1">
        <w:rPr>
          <w:rFonts w:ascii="Times New Roman" w:eastAsia="Times New Roman" w:hAnsi="Times New Roman" w:cs="Times New Roman"/>
          <w:kern w:val="0"/>
          <w:sz w:val="28"/>
          <w:szCs w:val="24"/>
          <w:lang w:eastAsia="ro-RO"/>
          <w14:ligatures w14:val="none"/>
        </w:rPr>
        <w:tab/>
        <w:t>act de solicitare a completării - comunicarea prin care un membru, o singură dată, solicită solicitantului clarificări, completări sau modificări ale documentației, potrivit art. 269 alin. (10) din Cod;</w:t>
      </w:r>
    </w:p>
    <w:p w14:paraId="1D663EB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h)</w:t>
      </w:r>
      <w:r w:rsidRPr="00EB76A1">
        <w:rPr>
          <w:rFonts w:ascii="Times New Roman" w:eastAsia="Times New Roman" w:hAnsi="Times New Roman" w:cs="Times New Roman"/>
          <w:kern w:val="0"/>
          <w:sz w:val="28"/>
          <w:szCs w:val="24"/>
          <w:lang w:eastAsia="ro-RO"/>
          <w14:ligatures w14:val="none"/>
        </w:rPr>
        <w:tab/>
        <w:t>registrul Comisiei - evidența electronică a documentațiilor și a actelor Comisiei, ținută potrivit art. 21 din regulament și art. 315 alin. (1) lit. b) din Cod;</w:t>
      </w:r>
    </w:p>
    <w:p w14:paraId="768091C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i)</w:t>
      </w:r>
      <w:r w:rsidRPr="00EB76A1">
        <w:rPr>
          <w:rFonts w:ascii="Times New Roman" w:eastAsia="Times New Roman" w:hAnsi="Times New Roman" w:cs="Times New Roman"/>
          <w:kern w:val="0"/>
          <w:sz w:val="28"/>
          <w:szCs w:val="24"/>
          <w:lang w:eastAsia="ro-RO"/>
          <w14:ligatures w14:val="none"/>
        </w:rPr>
        <w:tab/>
        <w:t>data documentației complete și corecte - data de la care curge termenul de emitere a avizelor și acordurilor prin Comisie, potrivit art. 269 alin. (3) din Cod;</w:t>
      </w:r>
    </w:p>
    <w:p w14:paraId="3D663C7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j)</w:t>
      </w:r>
      <w:r w:rsidRPr="00EB76A1">
        <w:rPr>
          <w:rFonts w:ascii="Times New Roman" w:eastAsia="Times New Roman" w:hAnsi="Times New Roman" w:cs="Times New Roman"/>
          <w:kern w:val="0"/>
          <w:sz w:val="28"/>
          <w:szCs w:val="24"/>
          <w:lang w:eastAsia="ro-RO"/>
          <w14:ligatures w14:val="none"/>
        </w:rPr>
        <w:tab/>
        <w:t>zi - zi calendaristică, cu excepția cazurilor în care prezentul regulament sau Codul prevede expres zi lucrătoare;</w:t>
      </w:r>
    </w:p>
    <w:p w14:paraId="162A76BA"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k)</w:t>
      </w:r>
      <w:r w:rsidRPr="00EB76A1">
        <w:rPr>
          <w:rFonts w:ascii="Times New Roman" w:eastAsia="Times New Roman" w:hAnsi="Times New Roman" w:cs="Times New Roman"/>
          <w:kern w:val="0"/>
          <w:sz w:val="28"/>
          <w:szCs w:val="24"/>
          <w:lang w:eastAsia="ro-RO"/>
          <w14:ligatures w14:val="none"/>
        </w:rPr>
        <w:tab/>
        <w:t>zi lucrătoare - orice zi, cu excepția zilelor de sâmbătă, duminică și a sărbătorilor legale în care nu se lucrează.</w:t>
      </w:r>
    </w:p>
    <w:p w14:paraId="6670CC2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6197AB5" w14:textId="07BEEB57"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II</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COMPETENȚA COMISIEI</w:t>
      </w:r>
    </w:p>
    <w:p w14:paraId="61140699" w14:textId="77777777"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4A857A59" w14:textId="3439C512" w:rsidR="00EB76A1" w:rsidRPr="008E4D43"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8E4D43">
        <w:rPr>
          <w:rFonts w:ascii="Times New Roman" w:eastAsia="Times New Roman" w:hAnsi="Times New Roman" w:cs="Times New Roman"/>
          <w:b/>
          <w:bCs/>
          <w:kern w:val="0"/>
          <w:sz w:val="28"/>
          <w:szCs w:val="24"/>
          <w:lang w:eastAsia="ro-RO"/>
          <w14:ligatures w14:val="none"/>
        </w:rPr>
        <w:t xml:space="preserve">Art. </w:t>
      </w:r>
      <w:r w:rsidR="008E4D43">
        <w:rPr>
          <w:rFonts w:ascii="Times New Roman" w:eastAsia="Times New Roman" w:hAnsi="Times New Roman" w:cs="Times New Roman"/>
          <w:b/>
          <w:bCs/>
          <w:kern w:val="0"/>
          <w:sz w:val="28"/>
          <w:szCs w:val="24"/>
          <w:lang w:eastAsia="ro-RO"/>
          <w14:ligatures w14:val="none"/>
        </w:rPr>
        <w:t>3</w:t>
      </w:r>
      <w:r w:rsidRPr="008E4D43">
        <w:rPr>
          <w:rFonts w:ascii="Times New Roman" w:eastAsia="Times New Roman" w:hAnsi="Times New Roman" w:cs="Times New Roman"/>
          <w:b/>
          <w:bCs/>
          <w:kern w:val="0"/>
          <w:sz w:val="28"/>
          <w:szCs w:val="24"/>
          <w:lang w:eastAsia="ro-RO"/>
          <w14:ligatures w14:val="none"/>
        </w:rPr>
        <w:t>. Avizele și acordurile care se obțin prin Comisie</w:t>
      </w:r>
    </w:p>
    <w:p w14:paraId="7DB3874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La opțiunea solicitantului, exprimată potrivit art. 10 din regulament, se obțin prin intermediul Comisiei, sub forma acordului unic, avizele și acordurile prevăzute la art. 266 alin. (2) din Cod, cu excepția celor de la alin. (3), necesare pentru:</w:t>
      </w:r>
    </w:p>
    <w:p w14:paraId="6B591AD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autorizația de construire, de desființare, de modificare și de regularizare pentru clădiri;</w:t>
      </w:r>
    </w:p>
    <w:p w14:paraId="54685E2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autorizația de construire pentru lucrări de amenajări și autorizația de amenajare a organizării execuției;</w:t>
      </w:r>
    </w:p>
    <w:p w14:paraId="42F0341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documentațiile complementare solicitate în cadrul procedurii simplificate de notificare.</w:t>
      </w:r>
    </w:p>
    <w:p w14:paraId="140A315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Lista avizelor și acordurilor care se obțin prin Comisie este cea înscrisă în certificatul de urbanism, potrivit art. 257 alin. (13) lit. a) din Cod.</w:t>
      </w:r>
    </w:p>
    <w:p w14:paraId="661497A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Nu se obțin prin Comisie și rămân în procedură independentă, indiferent de opțiunea solicitantului:</w:t>
      </w:r>
    </w:p>
    <w:p w14:paraId="3F0B87FD" w14:textId="21E975BB"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punctul de vedere și actul administrativ al autorității publice competente pentru protecția mediului, inclusiv acordul de mediu sau avizul Natura 2000;</w:t>
      </w:r>
    </w:p>
    <w:p w14:paraId="386CBAF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avizul de gospodărire a apelor;</w:t>
      </w:r>
    </w:p>
    <w:p w14:paraId="3E4D8F9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c)</w:t>
      </w:r>
      <w:r w:rsidRPr="00EB76A1">
        <w:rPr>
          <w:rFonts w:ascii="Times New Roman" w:eastAsia="Times New Roman" w:hAnsi="Times New Roman" w:cs="Times New Roman"/>
          <w:kern w:val="0"/>
          <w:sz w:val="28"/>
          <w:szCs w:val="24"/>
          <w:lang w:eastAsia="ro-RO"/>
          <w14:ligatures w14:val="none"/>
        </w:rPr>
        <w:tab/>
        <w:t>avizul Ministerului Culturii sau al serviciilor publice deconcentrate ale acestuia;</w:t>
      </w:r>
    </w:p>
    <w:p w14:paraId="40896E7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acordul vecinilor/asociațiilor de proprietari;</w:t>
      </w:r>
    </w:p>
    <w:p w14:paraId="73608FD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orice alte acte pe care o dispoziție legală specială le menține într-o procedură proprie.</w:t>
      </w:r>
    </w:p>
    <w:p w14:paraId="5A7A400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Opțiunea pentru procedura Comisiei privește toate avizele și acordurile eligibile înscrise ca atare în certificatul de urbanism. Nu fac obiectul opțiunii avizele și acordurile deja obținute și aflate în valabilitate, care se anexează documentației și se evidențiază în acordul unic, fără a fi solicitate din nou.</w:t>
      </w:r>
    </w:p>
    <w:p w14:paraId="1EF75D8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Prin Comisie se realizează și avizarea proiectului urbanistic de detaliu. Pentru proiectul urbanistic de detaliu se obțin aceleași avize și acorduri necesare documentației de autorizare a construirii, cu excepția celor care se emit strict pentru autorizarea construirii,  iar avizarea se completează cu avizele instituțiilor din SNAOPSN în situațiile prevăzute la art. 84 alin. (4) din Cod.</w:t>
      </w:r>
    </w:p>
    <w:p w14:paraId="12CBF01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ab/>
        <w:t>În cazul proiectului urbanistic de detaliu, comisia tehnică de amenajare a teritoriului și urbanism analizează documentația o singură dată, anterior avizării în Comisie, iar după parcurgerea etapei de avizare documentația nu se mai supune din nou analizei acesteia. Acordul unic se emite înaintea avizului tehnic al arhitectului-șef și se atașează documentației înaintate spre aprobare. Forma finală a proiectului preia observațiile din acordul unic și din avizele obținute independent.</w:t>
      </w:r>
    </w:p>
    <w:p w14:paraId="34C6795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(7)</w:t>
      </w:r>
      <w:r w:rsidRPr="00EB76A1">
        <w:rPr>
          <w:rFonts w:ascii="Times New Roman" w:eastAsia="Times New Roman" w:hAnsi="Times New Roman" w:cs="Times New Roman"/>
          <w:kern w:val="0"/>
          <w:sz w:val="28"/>
          <w:szCs w:val="24"/>
          <w:lang w:eastAsia="ro-RO"/>
          <w14:ligatures w14:val="none"/>
        </w:rPr>
        <w:tab/>
        <w:t>Pentru avizele și acordurile obținute la faza planului urbanistic zonal, individual sau sub formă de aviz unic integrat, prevederile art. 266 alin. (6) din Cod se aplică în mod corespunzător: acestea își păstrează valabilitatea la faza de autorizare, fără a mai fi solicitate prin Comisie, dacă emitentul nu a precizat necesitatea revenirii la faza următoare a investiției.</w:t>
      </w:r>
    </w:p>
    <w:p w14:paraId="3D2A20C0"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(8)</w:t>
      </w:r>
      <w:r w:rsidRPr="00EB76A1">
        <w:rPr>
          <w:rFonts w:ascii="Times New Roman" w:eastAsia="Times New Roman" w:hAnsi="Times New Roman" w:cs="Times New Roman"/>
          <w:kern w:val="0"/>
          <w:sz w:val="28"/>
          <w:szCs w:val="24"/>
          <w:lang w:eastAsia="ro-RO"/>
          <w14:ligatures w14:val="none"/>
        </w:rPr>
        <w:tab/>
        <w:t>Este interzisă solicitarea, prin Comisie, a unor avize sau acorduri care nu au temei legal și tehnic în raport cu obiectul lucrărilor de construire.</w:t>
      </w:r>
    </w:p>
    <w:p w14:paraId="449E817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437424A" w14:textId="6155E3E9"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 xml:space="preserve">Art. </w:t>
      </w:r>
      <w:r w:rsidR="008E4D43">
        <w:rPr>
          <w:rFonts w:ascii="Times New Roman" w:eastAsia="Times New Roman" w:hAnsi="Times New Roman" w:cs="Times New Roman"/>
          <w:b/>
          <w:bCs/>
          <w:kern w:val="0"/>
          <w:sz w:val="28"/>
          <w:szCs w:val="24"/>
          <w:lang w:eastAsia="ro-RO"/>
          <w14:ligatures w14:val="none"/>
        </w:rPr>
        <w:t>4</w:t>
      </w:r>
      <w:r w:rsidRPr="00EB76A1">
        <w:rPr>
          <w:rFonts w:ascii="Times New Roman" w:eastAsia="Times New Roman" w:hAnsi="Times New Roman" w:cs="Times New Roman"/>
          <w:b/>
          <w:bCs/>
          <w:kern w:val="0"/>
          <w:sz w:val="28"/>
          <w:szCs w:val="24"/>
          <w:lang w:eastAsia="ro-RO"/>
          <w14:ligatures w14:val="none"/>
        </w:rPr>
        <w:t>. Competența teritorială a Comisiei</w:t>
      </w:r>
    </w:p>
    <w:p w14:paraId="26F6D0E0" w14:textId="670CC5BC"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 xml:space="preserve">Comisia funcționează la nivelul județului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w:t>
      </w:r>
    </w:p>
    <w:p w14:paraId="65B7D97F" w14:textId="184C830E"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 xml:space="preserve">Comisia are competență de avizare pe întreg teritoriul județului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cu excepția teritoriilor în care este constituită și operațională o comisie de acord unic proprie, potrivit art. 269 alin. (8) din Cod. Municipiul reședință de județ are obligația constituirii comisiei proprii, potrivit art. 305 alin. (1) din Cod, iar comisia de acord unic de la nivelul municipiului are competență de avizare pe întreg teritoriul metropolitan al acestuia, stabilit potrivit Anexei nr. 1 la Legea nr. 246/2022.</w:t>
      </w:r>
    </w:p>
    <w:p w14:paraId="591FB8D9" w14:textId="0FEA7B6A"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 xml:space="preserve">Pentru unitățile administrativ-teritoriale care, au opțiunea de a constitui propria comisie de acord unic și nu au constituit-o, relația administrativă cu Consiliul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xml:space="preserve"> se organizează prin convenția de colaborare prevăzută la art. 305 alin. (3) din Cod, care stabilește canalul de comunicare, persoanele de contact și modalitatea de transmitere a acordului unic.</w:t>
      </w:r>
    </w:p>
    <w:p w14:paraId="3103434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 xml:space="preserve">Lipsa convenției prevăzute la alin. (3) nu împiedică înregistrarea și instrumentarea documentației depuse de solicitant, competența teritorială a </w:t>
      </w:r>
      <w:r w:rsidRPr="00EB76A1">
        <w:rPr>
          <w:rFonts w:ascii="Times New Roman" w:eastAsia="Times New Roman" w:hAnsi="Times New Roman" w:cs="Times New Roman"/>
          <w:kern w:val="0"/>
          <w:sz w:val="28"/>
          <w:szCs w:val="24"/>
          <w:lang w:eastAsia="ro-RO"/>
          <w14:ligatures w14:val="none"/>
        </w:rPr>
        <w:lastRenderedPageBreak/>
        <w:t>Comisiei fiind cea stabilită prin art. 269 alin. (8) din Cod. În acest caz, secretariatul comunică acordul unic și autorității competente să emită autorizația.</w:t>
      </w:r>
    </w:p>
    <w:p w14:paraId="6538206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Competența Comisiei se restrânge sau se extinde de drept, de la data comunicării oficiale către secretariat, atunci când o unitate administrativ-teritorială își constituie ori își desființează comisia proprie de acord unic. Constituirea unei comisii proprii produce efecte pentru cererile noi. Documentațiile aflate în curs se finalizează de Comisia la care au fost înregistrate, cu valorificarea actelor deja emise și a termenelor parcurse.</w:t>
      </w:r>
    </w:p>
    <w:p w14:paraId="3540F38E"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ab/>
        <w:t>Secretariatul ține evidența actualizată a unităților administrativ-teritoriale aflate în competența Comisiei și a convențiilor în vigoare.</w:t>
      </w:r>
    </w:p>
    <w:p w14:paraId="14E9BA3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7CC4F07" w14:textId="62B8F40C"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III</w:t>
      </w:r>
      <w:r w:rsidR="001F2131">
        <w:rPr>
          <w:rFonts w:ascii="Times New Roman" w:eastAsia="Times New Roman" w:hAnsi="Times New Roman" w:cs="Times New Roman"/>
          <w:b/>
          <w:bCs/>
          <w:kern w:val="0"/>
          <w:sz w:val="28"/>
          <w:szCs w:val="24"/>
          <w:lang w:eastAsia="ro-RO"/>
          <w14:ligatures w14:val="none"/>
        </w:rPr>
        <w:t>.</w:t>
      </w:r>
      <w:r w:rsidRPr="00EB76A1">
        <w:rPr>
          <w:rFonts w:ascii="Times New Roman" w:eastAsia="Times New Roman" w:hAnsi="Times New Roman" w:cs="Times New Roman"/>
          <w:b/>
          <w:bCs/>
          <w:kern w:val="0"/>
          <w:sz w:val="28"/>
          <w:szCs w:val="24"/>
          <w:lang w:eastAsia="ro-RO"/>
          <w14:ligatures w14:val="none"/>
        </w:rPr>
        <w:t xml:space="preserve"> COMPONENȚA COMISIEI</w:t>
      </w:r>
    </w:p>
    <w:p w14:paraId="296C3373" w14:textId="77777777"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14007B1D" w14:textId="4486967F"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 xml:space="preserve">Art. </w:t>
      </w:r>
      <w:r w:rsidR="008E4D43">
        <w:rPr>
          <w:rFonts w:ascii="Times New Roman" w:eastAsia="Times New Roman" w:hAnsi="Times New Roman" w:cs="Times New Roman"/>
          <w:b/>
          <w:bCs/>
          <w:kern w:val="0"/>
          <w:sz w:val="28"/>
          <w:szCs w:val="24"/>
          <w:lang w:eastAsia="ro-RO"/>
          <w14:ligatures w14:val="none"/>
        </w:rPr>
        <w:t>5</w:t>
      </w:r>
      <w:r w:rsidRPr="00EB76A1">
        <w:rPr>
          <w:rFonts w:ascii="Times New Roman" w:eastAsia="Times New Roman" w:hAnsi="Times New Roman" w:cs="Times New Roman"/>
          <w:b/>
          <w:bCs/>
          <w:kern w:val="0"/>
          <w:sz w:val="28"/>
          <w:szCs w:val="24"/>
          <w:lang w:eastAsia="ro-RO"/>
          <w14:ligatures w14:val="none"/>
        </w:rPr>
        <w:t>. Componența instituțională</w:t>
      </w:r>
    </w:p>
    <w:p w14:paraId="717FCA85"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Comisia este formată, potrivit art. 307 alin. (2) din Cod, din:</w:t>
      </w:r>
    </w:p>
    <w:p w14:paraId="4E8938FE" w14:textId="2D61185E"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 xml:space="preserve">specialiști din structura de specialitate a Consiliului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xml:space="preserve"> condusă de arhitectul-șef, care asigură și secretariatul Comisiei;</w:t>
      </w:r>
    </w:p>
    <w:p w14:paraId="015C38AD" w14:textId="1E51E8AB"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reprezentanții delegați ai societăților care administrează și/sau furnizează utilitățile urbane - avizatori;</w:t>
      </w:r>
    </w:p>
    <w:p w14:paraId="49F6F48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reprezentanții împuterniciți ai serviciilor publice deconcentrate în domeniile prevenirii și stingerii incendiilor, prevenirii accidentelor majore în care sunt implicate substanțe periculoase, protecției civile și protecției sănătății populației;</w:t>
      </w:r>
    </w:p>
    <w:p w14:paraId="220EC06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reprezentanții altor instituții emitente de avize și acorduri prevăzute la art. 266 alin. (2) din Cod, inclusiv ai instituțiilor din Sistemul Național de Apărare, Ordine Publică și Siguranță Națională, denumit în continuare SNAOPSN, atunci când documentația are incidență asupra domeniului lor de competență.</w:t>
      </w:r>
    </w:p>
    <w:p w14:paraId="0E23AD5F" w14:textId="77777777" w:rsidR="008E4D43" w:rsidRDefault="008E4D43" w:rsidP="008E4D43">
      <w:pPr>
        <w:spacing w:after="0" w:line="240" w:lineRule="auto"/>
        <w:jc w:val="both"/>
        <w:rPr>
          <w:rFonts w:ascii="Times New Roman" w:eastAsia="Times New Roman" w:hAnsi="Times New Roman" w:cs="Times New Roman"/>
          <w:kern w:val="0"/>
          <w:sz w:val="28"/>
          <w:szCs w:val="24"/>
          <w:lang w:eastAsia="ro-RO"/>
          <w14:ligatures w14:val="none"/>
        </w:rPr>
      </w:pPr>
      <w:r>
        <w:rPr>
          <w:rFonts w:ascii="Times New Roman" w:eastAsia="Times New Roman" w:hAnsi="Times New Roman" w:cs="Times New Roman"/>
          <w:kern w:val="0"/>
          <w:sz w:val="28"/>
          <w:szCs w:val="24"/>
          <w:lang w:eastAsia="ro-RO"/>
          <w14:ligatures w14:val="none"/>
        </w:rPr>
        <w:t xml:space="preserve">(2) Componența nominală a reprezentanților aparatului de specialitate din cadrul Consiliului Județean se stabilește prin dispoziția Președintelui Consiliului Județean. </w:t>
      </w:r>
    </w:p>
    <w:p w14:paraId="09BEBECD" w14:textId="77777777" w:rsidR="008E4D43" w:rsidRDefault="008E4D43" w:rsidP="008E4D43">
      <w:pPr>
        <w:spacing w:after="0" w:line="240" w:lineRule="auto"/>
        <w:jc w:val="both"/>
        <w:rPr>
          <w:rFonts w:ascii="Times New Roman" w:eastAsia="Times New Roman" w:hAnsi="Times New Roman" w:cs="Times New Roman"/>
          <w:kern w:val="0"/>
          <w:sz w:val="28"/>
          <w:szCs w:val="24"/>
          <w:lang w:eastAsia="ro-RO"/>
          <w14:ligatures w14:val="none"/>
        </w:rPr>
      </w:pPr>
      <w:r>
        <w:rPr>
          <w:rFonts w:ascii="Times New Roman" w:eastAsia="Times New Roman" w:hAnsi="Times New Roman" w:cs="Times New Roman"/>
          <w:kern w:val="0"/>
          <w:sz w:val="28"/>
          <w:szCs w:val="24"/>
          <w:lang w:eastAsia="ro-RO"/>
          <w14:ligatures w14:val="none"/>
        </w:rPr>
        <w:t xml:space="preserve">(3) Instituțiile prevăzute la alin.(1) lit.b)- d) comunică secretariatului Comisiei datele reprezentanților desemnați și documentele prin care aceștia sunt delegați sau împuterniciți. </w:t>
      </w:r>
    </w:p>
    <w:p w14:paraId="411D27FA" w14:textId="275DE364" w:rsidR="008E4D43" w:rsidRDefault="008E4D43" w:rsidP="00EB76A1">
      <w:pPr>
        <w:spacing w:after="0" w:line="240" w:lineRule="auto"/>
        <w:jc w:val="both"/>
        <w:rPr>
          <w:rFonts w:ascii="Times New Roman" w:eastAsia="Times New Roman" w:hAnsi="Times New Roman" w:cs="Times New Roman"/>
          <w:kern w:val="0"/>
          <w:sz w:val="28"/>
          <w:szCs w:val="24"/>
          <w:lang w:eastAsia="ro-RO"/>
          <w14:ligatures w14:val="none"/>
        </w:rPr>
      </w:pPr>
      <w:r>
        <w:rPr>
          <w:rFonts w:ascii="Times New Roman" w:eastAsia="Times New Roman" w:hAnsi="Times New Roman" w:cs="Times New Roman"/>
          <w:kern w:val="0"/>
          <w:sz w:val="28"/>
          <w:szCs w:val="24"/>
          <w:lang w:eastAsia="ro-RO"/>
          <w14:ligatures w14:val="none"/>
        </w:rPr>
        <w:t xml:space="preserve">(4) Consiliul Județean Vrancea poate extinde, pe baza protocoalelor de colaborare instituționale și a convențiilor de cooperare, încheiate cu emitenții de avize și acorduri, componența Comisiei la orice emitent de avize și acorduri prevăzut de legislația aplicabilă. </w:t>
      </w:r>
    </w:p>
    <w:p w14:paraId="23EDBF18" w14:textId="28A4A5F0"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w:t>
      </w:r>
      <w:r w:rsidR="008E4D43">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w:t>
      </w:r>
      <w:r w:rsidRPr="00EB76A1">
        <w:rPr>
          <w:rFonts w:ascii="Times New Roman" w:eastAsia="Times New Roman" w:hAnsi="Times New Roman" w:cs="Times New Roman"/>
          <w:kern w:val="0"/>
          <w:sz w:val="28"/>
          <w:szCs w:val="24"/>
          <w:lang w:eastAsia="ro-RO"/>
          <w14:ligatures w14:val="none"/>
        </w:rPr>
        <w:tab/>
        <w:t>Pentru fiecare documentație se transmite documentația și se urmăresc termenele numai pentru membrii indicați în certificatul de urbanism ori impuși de lege pentru proiectul urbanistic de detaliu, fără a fi necesară implicarea întregii componențe instituționale.</w:t>
      </w:r>
    </w:p>
    <w:p w14:paraId="42E76900" w14:textId="77777777" w:rsidR="002E6316" w:rsidRPr="00EB76A1" w:rsidRDefault="002E6316"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D0368A4" w14:textId="4A797426"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w:t>
      </w:r>
      <w:r w:rsidR="008E4D43">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w:t>
      </w:r>
      <w:r w:rsidRPr="00EB76A1">
        <w:rPr>
          <w:rFonts w:ascii="Times New Roman" w:eastAsia="Times New Roman" w:hAnsi="Times New Roman" w:cs="Times New Roman"/>
          <w:kern w:val="0"/>
          <w:sz w:val="28"/>
          <w:szCs w:val="24"/>
          <w:lang w:eastAsia="ro-RO"/>
          <w14:ligatures w14:val="none"/>
        </w:rPr>
        <w:tab/>
        <w:t>Pentru documentațiile care necesită avizul unei instituții din SNAOPSN, acordul tacit prevăzut la art. 16 din regulament nu operează, potrivit art. 269 alin. (15) din Cod. avizul acestor instituții rămâne obligatoriu și se obține potrivit termenelor și procedurii proprii.</w:t>
      </w:r>
    </w:p>
    <w:p w14:paraId="531A902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26D227EF" w14:textId="6B034876"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Art. 6. Desemnarea reprezentanților</w:t>
      </w:r>
    </w:p>
    <w:p w14:paraId="6752B2D2" w14:textId="5FB069DC"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Componența</w:t>
      </w:r>
      <w:r w:rsidR="008E4D43">
        <w:rPr>
          <w:rFonts w:ascii="Times New Roman" w:eastAsia="Times New Roman" w:hAnsi="Times New Roman" w:cs="Times New Roman"/>
          <w:kern w:val="0"/>
          <w:sz w:val="28"/>
          <w:szCs w:val="24"/>
          <w:lang w:eastAsia="ro-RO"/>
          <w14:ligatures w14:val="none"/>
        </w:rPr>
        <w:t xml:space="preserve"> Comisiei </w:t>
      </w:r>
      <w:r w:rsidRPr="00EB76A1">
        <w:rPr>
          <w:rFonts w:ascii="Times New Roman" w:eastAsia="Times New Roman" w:hAnsi="Times New Roman" w:cs="Times New Roman"/>
          <w:kern w:val="0"/>
          <w:sz w:val="28"/>
          <w:szCs w:val="24"/>
          <w:lang w:eastAsia="ro-RO"/>
          <w14:ligatures w14:val="none"/>
        </w:rPr>
        <w:t xml:space="preserve">este instituțională. Membrii Comisiei sunt numiți de conducătorii instituțiilor și operatorilor reprezentați, la solicitarea scrisă a Consiliului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prin fișa de nominalizare cuprinzând un reprezentant titular și un supleant, cu indicarea funcției, a datelor de contact instituționale și a adresei instituționale de comunicare sau, după caz, a datelor necesare pentru crearea contului în platforma Consiliului Județean, la care se transmit notificările și documentațiile.</w:t>
      </w:r>
    </w:p>
    <w:p w14:paraId="6AA30890" w14:textId="574786AA"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Notificările și convocările se adresează instituției, nu reprezentantului. Calitatea de reprezentant se dovedește prin fișa de nominalizare comunicată secretariatului Comisiei. Înlocuirea reprezentanților se comunică în scris secretariatului și produce efecte de la data comunicării</w:t>
      </w:r>
      <w:r w:rsidR="008E4D43">
        <w:rPr>
          <w:rFonts w:ascii="Times New Roman" w:eastAsia="Times New Roman" w:hAnsi="Times New Roman" w:cs="Times New Roman"/>
          <w:kern w:val="0"/>
          <w:sz w:val="28"/>
          <w:szCs w:val="24"/>
          <w:lang w:eastAsia="ro-RO"/>
          <w14:ligatures w14:val="none"/>
        </w:rPr>
        <w:t xml:space="preserve">. </w:t>
      </w:r>
    </w:p>
    <w:p w14:paraId="0B8C7A3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Reprezentanții desemnați trebuie să dețină semnătură electronică calificată sau avansată, potrivit OUG nr. 140/2020, pentru a asigura semnarea electronică a actelor.</w:t>
      </w:r>
    </w:p>
    <w:p w14:paraId="273889A3" w14:textId="0777F9B5"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w:t>
      </w:r>
      <w:r>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w:t>
      </w:r>
      <w:r w:rsidRPr="00EB76A1">
        <w:rPr>
          <w:rFonts w:ascii="Times New Roman" w:eastAsia="Times New Roman" w:hAnsi="Times New Roman" w:cs="Times New Roman"/>
          <w:kern w:val="0"/>
          <w:sz w:val="28"/>
          <w:szCs w:val="24"/>
          <w:lang w:eastAsia="ro-RO"/>
          <w14:ligatures w14:val="none"/>
        </w:rPr>
        <w:tab/>
        <w:t>Secretariatul ține registrul nominalizărilor, cuprinzând pentru fiecare instituție sau operator: reprezentanții desemnați, datele de contact, data desemnării, protocolul încheiat potrivit art. 28 și tarifele de avizare comunicate potrivit art. 24 alin. (2).</w:t>
      </w:r>
    </w:p>
    <w:p w14:paraId="3F04F1E7" w14:textId="18FAF034"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w:t>
      </w:r>
      <w:r>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w:t>
      </w:r>
      <w:r w:rsidRPr="00EB76A1">
        <w:rPr>
          <w:rFonts w:ascii="Times New Roman" w:eastAsia="Times New Roman" w:hAnsi="Times New Roman" w:cs="Times New Roman"/>
          <w:kern w:val="0"/>
          <w:sz w:val="28"/>
          <w:szCs w:val="24"/>
          <w:lang w:eastAsia="ro-RO"/>
          <w14:ligatures w14:val="none"/>
        </w:rPr>
        <w:tab/>
        <w:t>Neîndeplinirea de către o instituție sau un operator a obligației de desemnare nu împiedică funcționarea Comisiei. Documentația se transmite la adresa oficială cunoscută, iar lipsa răspunsului se tratează potrivit art. 16.</w:t>
      </w:r>
    </w:p>
    <w:p w14:paraId="6DD2EE2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BC113E5" w14:textId="7E2D5385"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Art. 7. Președintele Comisiei</w:t>
      </w:r>
    </w:p>
    <w:p w14:paraId="7924FE05" w14:textId="5E765B2D"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 xml:space="preserve">Comisia este condusă de arhitectul-șef al județului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în calitate de președinte.</w:t>
      </w:r>
    </w:p>
    <w:p w14:paraId="1B32111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În absența arhitectului-șef, atribuțiile de președinte sunt exercitate de înlocuitorul de drept al acestuia, conform fișei postului.</w:t>
      </w:r>
    </w:p>
    <w:p w14:paraId="324511E8"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Președintele Comisiei coordonează activitatea Comisiei și aplicarea unitară a prezentului regulament, convoacă reuniunile de lucru prevăzute la art. 17, semnează acordul unic potrivit art. 18 alin. (3) și reprezintă Comisia în relația cu emitenții de avize și acorduri, cu unitățile administrativ-teritoriale și cu autoritățile competente să emită autorizația.</w:t>
      </w:r>
    </w:p>
    <w:p w14:paraId="3026669E"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6000F7C" w14:textId="4D5CABAB"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Art. 8. Secretariatul Comisiei</w:t>
      </w:r>
    </w:p>
    <w:p w14:paraId="7B5F09B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Secretariatul este organizat la nivelul structurii de specialitate condusă de arhitectul-șef, potrivit art. 307 alin. (4) din Cod, prin persoanele desemnate prin dispoziție a președintelui Consiliului Județean: un secretar al Comisiei, un responsabil cu evidența și termenele și, după caz, un responsabil cu infrastructura digitală, cu înlocuitori.</w:t>
      </w:r>
    </w:p>
    <w:p w14:paraId="0805CE6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Secretariatul:</w:t>
      </w:r>
    </w:p>
    <w:p w14:paraId="61CC6CE2" w14:textId="378AE17C"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 xml:space="preserve">primește și înregistrează cererile și documentațiile, prin intermediul Ghișeului unic al Consiliului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până la operaționalizarea Ghișeului Unic național prevăzut la art. 139 din Cod sau prin canalul electronic prevăzut la art. 9;</w:t>
      </w:r>
    </w:p>
    <w:p w14:paraId="7A79F2A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b)</w:t>
      </w:r>
      <w:r w:rsidRPr="00EB76A1">
        <w:rPr>
          <w:rFonts w:ascii="Times New Roman" w:eastAsia="Times New Roman" w:hAnsi="Times New Roman" w:cs="Times New Roman"/>
          <w:kern w:val="0"/>
          <w:sz w:val="28"/>
          <w:szCs w:val="24"/>
          <w:lang w:eastAsia="ro-RO"/>
          <w14:ligatures w14:val="none"/>
        </w:rPr>
        <w:tab/>
        <w:t>verifică dacă documentația depusă respectă cerințele urbanistice și corespunde certificatului de urbanism și, dacă documentația este neconformă, reia procedura de avizare potrivit art. 307 alin. (5) din Cod și art. 11 din regulament;</w:t>
      </w:r>
    </w:p>
    <w:p w14:paraId="335F586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stabilește membrii vizați potrivit certificatului de urbanism și le transmite documentația concomitent, cu menționarea datei documentației complete și corecte și a termenului aplicabil;</w:t>
      </w:r>
    </w:p>
    <w:p w14:paraId="6BCFFA0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ține evidența termenelor pentru fiecare membru, a solicitărilor de completare și a răspunsurilor și urmărește împlinirea termenelor prevăzute la art. 12, 14 și 16;</w:t>
      </w:r>
    </w:p>
    <w:p w14:paraId="24B7D3B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redactează și comunică adresa unică de completare prevăzută la art. 14 alin. (4), proiectul acordului unic și celelalte acte ale procedurii;</w:t>
      </w:r>
    </w:p>
    <w:p w14:paraId="3B428A1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f)</w:t>
      </w:r>
      <w:r w:rsidRPr="00EB76A1">
        <w:rPr>
          <w:rFonts w:ascii="Times New Roman" w:eastAsia="Times New Roman" w:hAnsi="Times New Roman" w:cs="Times New Roman"/>
          <w:kern w:val="0"/>
          <w:sz w:val="28"/>
          <w:szCs w:val="24"/>
          <w:lang w:eastAsia="ro-RO"/>
          <w14:ligatures w14:val="none"/>
        </w:rPr>
        <w:tab/>
        <w:t>ține registrul Comisiei, registrul acordurilor unice emise, registrul nominalizărilor și registrul protocoalelor;</w:t>
      </w:r>
    </w:p>
    <w:p w14:paraId="02B7A5EA" w14:textId="01CFFB8D"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g)</w:t>
      </w:r>
      <w:r w:rsidRPr="00EB76A1">
        <w:rPr>
          <w:rFonts w:ascii="Times New Roman" w:eastAsia="Times New Roman" w:hAnsi="Times New Roman" w:cs="Times New Roman"/>
          <w:kern w:val="0"/>
          <w:sz w:val="28"/>
          <w:szCs w:val="24"/>
          <w:lang w:eastAsia="ro-RO"/>
          <w14:ligatures w14:val="none"/>
        </w:rPr>
        <w:tab/>
        <w:t>publică și actualizează informațiile prevăzute la art. 25</w:t>
      </w:r>
      <w:r w:rsidR="001F2131">
        <w:rPr>
          <w:rFonts w:ascii="Times New Roman" w:eastAsia="Times New Roman" w:hAnsi="Times New Roman" w:cs="Times New Roman"/>
          <w:kern w:val="0"/>
          <w:sz w:val="28"/>
          <w:szCs w:val="24"/>
          <w:lang w:eastAsia="ro-RO"/>
          <w14:ligatures w14:val="none"/>
        </w:rPr>
        <w:t>;</w:t>
      </w:r>
    </w:p>
    <w:p w14:paraId="5A64BF8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h)</w:t>
      </w:r>
      <w:r w:rsidRPr="00EB76A1">
        <w:rPr>
          <w:rFonts w:ascii="Times New Roman" w:eastAsia="Times New Roman" w:hAnsi="Times New Roman" w:cs="Times New Roman"/>
          <w:kern w:val="0"/>
          <w:sz w:val="28"/>
          <w:szCs w:val="24"/>
          <w:lang w:eastAsia="ro-RO"/>
          <w14:ligatures w14:val="none"/>
        </w:rPr>
        <w:tab/>
        <w:t>comunică actele și arhivează dosarele electronice.</w:t>
      </w:r>
    </w:p>
    <w:p w14:paraId="6614566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Secretariatul nu oferă consultanță tehnică solicitanților, nu se substituie membrilor în formularea avizelor și acordurilor individuale, nu modifică și nu înlătură condițiile tehnice ori concluziile actelor emise de aceștia și nu răspunde de conținutul lor.</w:t>
      </w:r>
    </w:p>
    <w:p w14:paraId="35431B96"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Verificarea realizată de secretariat nu înlocuiește verificarea tehnică specifică a fiecărui membru și nu limitează dreptul acestuia de a solicita, o singură dată, clarificări, completări sau modificări, în condițiile art. 14.</w:t>
      </w:r>
    </w:p>
    <w:p w14:paraId="235D51E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6A861A7D" w14:textId="79390CAE" w:rsidR="00EB76A1" w:rsidRDefault="00EB76A1" w:rsidP="00EB76A1">
      <w:pPr>
        <w:spacing w:after="0" w:line="240" w:lineRule="auto"/>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IV</w:t>
      </w:r>
      <w:r w:rsidR="001F2131">
        <w:rPr>
          <w:rFonts w:ascii="Times New Roman" w:eastAsia="Times New Roman" w:hAnsi="Times New Roman" w:cs="Times New Roman"/>
          <w:b/>
          <w:bCs/>
          <w:kern w:val="0"/>
          <w:sz w:val="28"/>
          <w:szCs w:val="24"/>
          <w:lang w:eastAsia="ro-RO"/>
          <w14:ligatures w14:val="none"/>
        </w:rPr>
        <w:t>.</w:t>
      </w:r>
      <w:r w:rsidRPr="00EB76A1">
        <w:rPr>
          <w:rFonts w:ascii="Times New Roman" w:eastAsia="Times New Roman" w:hAnsi="Times New Roman" w:cs="Times New Roman"/>
          <w:b/>
          <w:bCs/>
          <w:kern w:val="0"/>
          <w:sz w:val="28"/>
          <w:szCs w:val="24"/>
          <w:lang w:eastAsia="ro-RO"/>
          <w14:ligatures w14:val="none"/>
        </w:rPr>
        <w:t xml:space="preserve"> DEPUNEREA, ÎNREGISTRAREA ȘI</w:t>
      </w:r>
      <w:r>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TRANSMITEREA DOCUMENTAȚIEI</w:t>
      </w:r>
    </w:p>
    <w:p w14:paraId="44298387" w14:textId="77777777" w:rsidR="00EB76A1" w:rsidRPr="00EB76A1" w:rsidRDefault="00EB76A1" w:rsidP="00EB76A1">
      <w:pPr>
        <w:spacing w:after="0" w:line="240" w:lineRule="auto"/>
        <w:rPr>
          <w:rFonts w:ascii="Times New Roman" w:eastAsia="Times New Roman" w:hAnsi="Times New Roman" w:cs="Times New Roman"/>
          <w:b/>
          <w:bCs/>
          <w:kern w:val="0"/>
          <w:sz w:val="28"/>
          <w:szCs w:val="24"/>
          <w:lang w:eastAsia="ro-RO"/>
          <w14:ligatures w14:val="none"/>
        </w:rPr>
      </w:pPr>
    </w:p>
    <w:p w14:paraId="35B314D0" w14:textId="055C8089"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9. Canalul electronic al Comisiei</w:t>
      </w:r>
    </w:p>
    <w:p w14:paraId="32323C8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Comisia lucrează, de regulă, în mediul online. Toate actele procedurii - depunerea documentației, transmiterea către membri, avizele și acordurile individuale, actele de solicitare a completării, dovada plăților și acordul unic - se gestionează prin canalul electronic al Comisiei.</w:t>
      </w:r>
    </w:p>
    <w:p w14:paraId="4C485C55"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Canalul electronic poate funcționa în una dintre următoarele configurații:</w:t>
      </w:r>
    </w:p>
    <w:p w14:paraId="0F0B148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configurația de bază - adresa de e-mail dedicată a Comisiei și un spațiu de stocare electronic al consiliului județean, pe care membrii să îl poată accesa. Documentația se depune prin transmiterea ei, semnată electronic, la adresa dedicată. Notificarea Comisiei se transmite prin e-mail, la adresele instituționale ale membrilor, și cuprinde linkul către documentații. Punctul de vedere se transmite prin e-mail, prin încărcarea în spațiul de stocare a fișei semnate electronic sau prin completarea fișei în spațiul de stocare. Completările se trimit secretariatului;</w:t>
      </w:r>
    </w:p>
    <w:p w14:paraId="37203FB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platforma electronică a consiliului județean - depunerea, notificarea, punctele de vedere, completările, procesul-verbal și comunicarea actelor se realizează prin funcțiile platformei, care ține loc de adresă de e-mail, de spațiu de stocare și de registru. Contul nominal al membrului ține loc de adresă instituțională, iar semnătura aplicată în platformă ține loc de fișă semnată;</w:t>
      </w:r>
    </w:p>
    <w:p w14:paraId="6B39F95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c)</w:t>
      </w:r>
      <w:r w:rsidRPr="00EB76A1">
        <w:rPr>
          <w:rFonts w:ascii="Times New Roman" w:eastAsia="Times New Roman" w:hAnsi="Times New Roman" w:cs="Times New Roman"/>
          <w:kern w:val="0"/>
          <w:sz w:val="28"/>
          <w:szCs w:val="24"/>
          <w:lang w:eastAsia="ro-RO"/>
          <w14:ligatures w14:val="none"/>
        </w:rPr>
        <w:tab/>
        <w:t>Ghișeului unic naţional, de la data operaționalizării acesteia, potrivit Codului și normelor de aplicare, care se substituie configurațiilor de la lit. a) și b) pentru funcțiile pe care le asigură.</w:t>
      </w:r>
    </w:p>
    <w:p w14:paraId="2A1E997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Transmiterea documentației prin link securizat, cu acces pentru toți membrii vizați, echivalează cu transmiterea concomitentă a documentației în format digital.</w:t>
      </w:r>
    </w:p>
    <w:p w14:paraId="72F1C8E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Configurația aplicabilă, adresele, formatele acceptate și instrucțiunile tehnice se stabilesc de președintele Comisiei și se publică pe pagina Comisiei. Modificarea instrumentului tehnic nu modifică prezentul regulament, nu afectează termenele legale și nu afectează procedurile în curs, care se finalizează în configurația în care au fost începute, dacă nu se stabilește altfel.</w:t>
      </w:r>
    </w:p>
    <w:p w14:paraId="40B48CD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 xml:space="preserve">Data comunicării unui act este data transmiterii de către secretariat la adresa instituțională a destinatarului, respectiv data înregistrării actului în platformă. Transmiterea linkului către documentația stocată în spațiul consiliului județean sau în platformă, cu acces pentru toți membrii, echivalează cu transmiterea documentației prin poșta electronică în Cod. </w:t>
      </w:r>
    </w:p>
    <w:p w14:paraId="698B44E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ab/>
        <w:t>Documentația se înregistrează în ziua primirii la adresa dedicată sau în platformă; cea primită după ora 16:00 sau într-o zi nelucrătoare se înregistrează în prima zi lucrătoare următoare, cu menționarea datei și orei primirii efective.</w:t>
      </w:r>
    </w:p>
    <w:p w14:paraId="1EDF525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(7)</w:t>
      </w:r>
      <w:r w:rsidRPr="00EB76A1">
        <w:rPr>
          <w:rFonts w:ascii="Times New Roman" w:eastAsia="Times New Roman" w:hAnsi="Times New Roman" w:cs="Times New Roman"/>
          <w:kern w:val="0"/>
          <w:sz w:val="28"/>
          <w:szCs w:val="24"/>
          <w:lang w:eastAsia="ro-RO"/>
          <w14:ligatures w14:val="none"/>
        </w:rPr>
        <w:tab/>
        <w:t>Membrii și solicitanții utilizează exclusiv canalul electronic în configurația stabilită; actele transmise pe altă cale nu produc efecte în procedură, cu excepția situației în care secretariatul le preia și le înregistrează în canal, cu consemnarea datei primirii efective.</w:t>
      </w:r>
    </w:p>
    <w:p w14:paraId="7866E08B" w14:textId="77777777"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1DC127E3" w14:textId="62A6ED1A"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10. Depunerea documentației și opțiunea solicitantului</w:t>
      </w:r>
    </w:p>
    <w:p w14:paraId="1623FED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Procedura Comisiei se activează prin declarația expresă de opțiune a solicitantului, depusă odată cu documentația. Declarația cuprinde avizele și acordurile care fac obiectul opțiunii, potrivit art. 3 alin. (4), și menționează avizele deja obținute și aflate în valabilitate.</w:t>
      </w:r>
    </w:p>
    <w:p w14:paraId="7DF3591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Documentația se depune prin canalul electronic al Comisiei, într-un singur exemplar electronic, cu piesele scrise și desenate în format PDF semnat cu semnătură electronică calificată, obținută în condițiile Ordonanței de urgență a Guvernului nr. 140/2020, aprobată prin Legea nr. 255/2020, însoțită de certificatul de urbanism și de documentațiile tehnice specifice fiecărui emitent.</w:t>
      </w:r>
    </w:p>
    <w:p w14:paraId="7BAE886B"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Pentru documentațiile aferente unităților administrativ-teritoriale cu care există convenție de colaborare, dosarul indică și convenția aplicabilă.</w:t>
      </w:r>
    </w:p>
    <w:p w14:paraId="5AD5E847" w14:textId="77777777" w:rsidR="00695605" w:rsidRDefault="00695605"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47B320A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1B47DCF" w14:textId="768F60A3"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11. Verificarea documentației</w:t>
      </w:r>
    </w:p>
    <w:p w14:paraId="344B61A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În cel mult 5 zile lucrătoare de la înregistrare, secretariatul verifică: competența Comisiei potrivit art. 3 și 4; existența și întinderea opțiunii solicitantului; corespondența cu certificatul de urbanism; existența documentațiilor specifice fiecărui emitent; semnarea electronică; conformitatea cu cerințele urbanistice, potrivit art. 307 alin. (5) din Cod.</w:t>
      </w:r>
    </w:p>
    <w:p w14:paraId="4AEE8D2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 xml:space="preserve">Dacă documentația este incompletă, solicitantul este notificat în termenul prevăzut la alin. (1), cu indicarea elementelor lipsă, potrivit art. 269 alin. (4) din </w:t>
      </w:r>
      <w:r w:rsidRPr="00EB76A1">
        <w:rPr>
          <w:rFonts w:ascii="Times New Roman" w:eastAsia="Times New Roman" w:hAnsi="Times New Roman" w:cs="Times New Roman"/>
          <w:kern w:val="0"/>
          <w:sz w:val="28"/>
          <w:szCs w:val="24"/>
          <w:lang w:eastAsia="ro-RO"/>
          <w14:ligatures w14:val="none"/>
        </w:rPr>
        <w:lastRenderedPageBreak/>
        <w:t>Cod. Termenul prevăzut la art. 12 alin. (2) curge de la data la care documentația este completă și corectă.</w:t>
      </w:r>
    </w:p>
    <w:p w14:paraId="3CA9D53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Dacă documentația nu intră în competența Comisiei sau este neconformă cu cerințele urbanistice, secretariatul o restituie motivat solicitantului, în termenul prevăzut la alin. (1), cu indicarea, după caz, a autorității competente ori a neconformităților constatate. Restituirea nu constituie act de solicitare a completării în sensul art. 14.</w:t>
      </w:r>
    </w:p>
    <w:p w14:paraId="5A650308"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Documentația completă și corectă se transmite membrilor potrivit art. 12, în cel mult 2 zile lucrătoare de la înregistrare, respectiv de la data completării acesteia.</w:t>
      </w:r>
    </w:p>
    <w:p w14:paraId="25804D1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0322D42" w14:textId="1766E769"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12. Transmiterea documentației și termenul de emitere</w:t>
      </w:r>
    </w:p>
    <w:p w14:paraId="4FFF37A2" w14:textId="5F23CD9A"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Documentația se transmite, concomitent, prin canalul electronic al Comisiei, tuturor membrilor vizați</w:t>
      </w:r>
      <w:r w:rsidR="001F2131">
        <w:rPr>
          <w:rFonts w:ascii="Times New Roman" w:eastAsia="Times New Roman" w:hAnsi="Times New Roman" w:cs="Times New Roman"/>
          <w:kern w:val="0"/>
          <w:sz w:val="28"/>
          <w:szCs w:val="24"/>
          <w:lang w:eastAsia="ro-RO"/>
          <w14:ligatures w14:val="none"/>
        </w:rPr>
        <w:t>.</w:t>
      </w:r>
    </w:p>
    <w:p w14:paraId="0D06290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Avizele și acordurile individuale se emit în termen de 15 zile calendaristice de la data documentației complete și corecte. Data de la care curge termenul și data-limită de emitere se înscriu în comunicarea de transmitere către membri.</w:t>
      </w:r>
    </w:p>
    <w:p w14:paraId="4060CFF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Membrii ale căror proceduri proprii impun analiza documentației într-o comisie o introduc pe agenda acesteia în termen de maximum 15 zile de la data depunerii documentației la registratura instituției și comunică solicitantului data analizei;</w:t>
      </w:r>
    </w:p>
    <w:p w14:paraId="5D169862"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Secretariatul urmărește distinct termenele prevăzute la art. 269 alin. (9) din Cod pentru avizele obținute independent și le evidențiază informativ în dosar, atunci când sunt necesare continuării procedurii de autorizare sau aprobării proiectului urbanistic de detaliu.</w:t>
      </w:r>
    </w:p>
    <w:p w14:paraId="1EF68A0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46E0D226" w14:textId="776002EC"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V</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ANALIZA DOCUMENTAȚIEI</w:t>
      </w:r>
    </w:p>
    <w:p w14:paraId="5BDA61B7" w14:textId="77777777"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39EAE0E2" w14:textId="6598081D"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13. Răspunsul membrilor</w:t>
      </w:r>
    </w:p>
    <w:p w14:paraId="02C2193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În termenul prevăzut la art. 12 alin. (2), fiecare membru transmite, prin canalul electronic al Comisiei, unul dintre următoarele răspunsuri:</w:t>
      </w:r>
    </w:p>
    <w:p w14:paraId="6B4E280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favorabil, fără condiții;</w:t>
      </w:r>
    </w:p>
    <w:p w14:paraId="30624E3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favorabil cu condiții specifice de avizare, cuprinzând condițiile, temeiul legal și motivarea tehnică;</w:t>
      </w:r>
    </w:p>
    <w:p w14:paraId="466065D5"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nefavorabil, cu justificare temeinică din punct de vedere tehnic, științific sau juridic, în domeniul propriu de competență;</w:t>
      </w:r>
    </w:p>
    <w:p w14:paraId="7B2F76E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actul de solicitare a completării, în condițiile art. 14.</w:t>
      </w:r>
    </w:p>
    <w:p w14:paraId="66F0F2D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Condițiile specifice de avizare se formulează exclusiv în domeniul de competență al instituției sau operatorului, au legătură directă cu investiția analizată și nu pot condiționa emiterea avizului sau acordului de obținerea prealabilă a altor avize ori de parcurgerea unor proceduri interne.</w:t>
      </w:r>
    </w:p>
    <w:p w14:paraId="44A16FE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Actele se transmit secretariatului semnate electronic, împreună cu toate anexele care fac parte din ele.</w:t>
      </w:r>
    </w:p>
    <w:p w14:paraId="004FFC65"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Un aviz nefavorabil sau o condiție tehnică emisă legal, în domeniul de competență al emitentului, nu poate fi înlăturată prin decizia altui membru sau a secretariatului.</w:t>
      </w:r>
    </w:p>
    <w:p w14:paraId="179256A2"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(5)</w:t>
      </w:r>
      <w:r w:rsidRPr="00EB76A1">
        <w:rPr>
          <w:rFonts w:ascii="Times New Roman" w:eastAsia="Times New Roman" w:hAnsi="Times New Roman" w:cs="Times New Roman"/>
          <w:kern w:val="0"/>
          <w:sz w:val="28"/>
          <w:szCs w:val="24"/>
          <w:lang w:eastAsia="ro-RO"/>
          <w14:ligatures w14:val="none"/>
        </w:rPr>
        <w:tab/>
        <w:t>Avizele și acordurile individuale primite după împlinirea termenului prevăzut la art. 12 alin. (2) nu se iau în considerare, membrul aflându-se în situația prevăzută la art. 16.</w:t>
      </w:r>
    </w:p>
    <w:p w14:paraId="2E8180C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64123135" w14:textId="43C81FCC"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14. Solicitarea de completare a documentației</w:t>
      </w:r>
    </w:p>
    <w:p w14:paraId="28F6BAD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Membrul care constată necesitatea unor clarificări, completări sau modificări le solicită o singură dată, în scris, prin canalul electronic al Comisiei, cu motivare temeinică din punct de vedere tehnic, științific sau juridic, potrivit art. 269 alin. (10) din Cod.</w:t>
      </w:r>
    </w:p>
    <w:p w14:paraId="1C6AAE7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Solicitarea se transmite în cel mult 5 zile lucrătoare de la primirea documentației. Pentru avizele care nu sunt condiționate de analiza documentației într-o comisie a emitentului, nicio solicitare de completare ulterioară acestui termen nu este permisă.</w:t>
      </w:r>
    </w:p>
    <w:p w14:paraId="43B2BA7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Secretariatul comunică solicitarea, în aceeași zi, tuturor membrilor ale căror condiții tehnice ar putea fi influențate. Comisia analizează modul în care completările cerute influențează condițiile impuse prin celelalte avize și conduc la modificarea soluției și comunică rezultatul analizei atât solicitantului, cât și membrilor afectați.</w:t>
      </w:r>
    </w:p>
    <w:p w14:paraId="3AA8D893"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Secretariatul centralizează solicitările primite și le comunică solicitantului printr-o adresă unică, împreună cu rezultatul analizei prevăzute la alin. (3). Adresa unică nu prelungește și nu suspendă termenele individuale ale membrilor.</w:t>
      </w:r>
    </w:p>
    <w:p w14:paraId="0F452A1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A895BB6" w14:textId="1EAB7271"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15.</w:t>
      </w:r>
      <w:r w:rsidR="001F2131" w:rsidRPr="001F2131">
        <w:rPr>
          <w:rFonts w:ascii="Times New Roman" w:eastAsia="Times New Roman" w:hAnsi="Times New Roman" w:cs="Times New Roman"/>
          <w:b/>
          <w:bCs/>
          <w:kern w:val="0"/>
          <w:sz w:val="28"/>
          <w:szCs w:val="24"/>
          <w:lang w:eastAsia="ro-RO"/>
          <w14:ligatures w14:val="none"/>
        </w:rPr>
        <w:t xml:space="preserve"> </w:t>
      </w:r>
      <w:r w:rsidRPr="001F2131">
        <w:rPr>
          <w:rFonts w:ascii="Times New Roman" w:eastAsia="Times New Roman" w:hAnsi="Times New Roman" w:cs="Times New Roman"/>
          <w:b/>
          <w:bCs/>
          <w:kern w:val="0"/>
          <w:sz w:val="28"/>
          <w:szCs w:val="24"/>
          <w:lang w:eastAsia="ro-RO"/>
          <w14:ligatures w14:val="none"/>
        </w:rPr>
        <w:t>Conformarea la solicitarea de completare</w:t>
      </w:r>
    </w:p>
    <w:p w14:paraId="02904CE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Solicitantul transmite membrilor care au formulat solicitarea, prin canalul electronic al Comisiei, răspunsul la solicitare, documentația revizuită și un tabel de conformare cu răspuns la fiecare cerință, ori justificarea temeinică a nepreluării observațiilor, în termen de cel mult 60 de zile de la data primirii adresei.</w:t>
      </w:r>
    </w:p>
    <w:p w14:paraId="74E40B0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Analiza răspunsului se realizează de structura de specialitate a emitentului și nu se mai supune unei noi analize a comisiei proprii a acestuia.</w:t>
      </w:r>
    </w:p>
    <w:p w14:paraId="6B87A06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În termen de 15 zile de la depunerea răspunsului prevăzut la alin. (1), membrul eliberează avizul sau acordul individual ori respinge documentația, cu justificare temeinică din punct de vedere tehnic, științific și juridic, sau dacă termenul prevăzut la alin. (1) a fost depășit, potrivit art. 269 alin. (13) din Cod.</w:t>
      </w:r>
    </w:p>
    <w:p w14:paraId="4D20607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Solicitările noi sunt admisibile numai dacă rezultă din modificările aduse de solicitant și privesc exclusiv elementele modificate ori dacă sunt impuse de o modificare legislativă intervenită între timp.</w:t>
      </w:r>
    </w:p>
    <w:p w14:paraId="6E2163C2"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Nedepunerea răspunsului în termenul prevăzut la alin. (1) atrage reluarea procedurii de avizare pentru avizul sau acordul respectiv, documentația restituindu-se solicitantului, la cerere, potrivit legii.</w:t>
      </w:r>
    </w:p>
    <w:p w14:paraId="188D1BF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1FD01F7" w14:textId="106D4F63"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16. Acordul tacit</w:t>
      </w:r>
    </w:p>
    <w:p w14:paraId="3241173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Termenul de 15 zile calendaristice prevăzut la art. 12 alin. (2) este termenul aplicabil avizelor și acordurilor obținute prin Comisie, în sensul art. 269 alin. (14) din Cod. Termenele prevăzute la art. 269 alin. (9) din Cod se aplică avizelor obținute independent.</w:t>
      </w:r>
    </w:p>
    <w:p w14:paraId="062401C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(2)</w:t>
      </w:r>
      <w:r w:rsidRPr="00EB76A1">
        <w:rPr>
          <w:rFonts w:ascii="Times New Roman" w:eastAsia="Times New Roman" w:hAnsi="Times New Roman" w:cs="Times New Roman"/>
          <w:kern w:val="0"/>
          <w:sz w:val="28"/>
          <w:szCs w:val="24"/>
          <w:lang w:eastAsia="ro-RO"/>
          <w14:ligatures w14:val="none"/>
        </w:rPr>
        <w:tab/>
        <w:t>Dacă un membru nu solicită completarea documentației în termenul prevăzut la art. 14 alin. (2), nu respinge justificat documentația și nu eliberează avizul sau acordul individual în termenele prevăzute la art. 12 alin. (2) ori, după caz, la art. 15 alin. (3), documentația se consideră completă, iar avizul sau acordul se consideră acordat, potrivit art. 269 alin. (14) din Cod.</w:t>
      </w:r>
    </w:p>
    <w:p w14:paraId="2E64171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Secretariatul constată împlinirea termenului, consemnează acordul tacit în registrul Comisiei, cu indicarea membrului, a datei transmiterii documentației și a temeiului, și îl menționează expres în acordul unic.</w:t>
      </w:r>
    </w:p>
    <w:p w14:paraId="50D790B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Pentru continuarea procedurii de autorizare în temeiul acordului tacit, solicitantul depune prin canalul electronic dovada depunerii răspunsului, după caz, și declarația pe propria răspundere prevăzută la art. 269 alin. (16) din Cod. Autoritatea competentă poate emite autorizația fără avizele considerate acordate, în condițiile aceluiași text.</w:t>
      </w:r>
    </w:p>
    <w:p w14:paraId="78D8C7B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Avizele și acordurile eliberate după invocarea aprobării tacite de către beneficiar nu produc efecte juridice, potrivit art. 269 alin. (14) din Cod.</w:t>
      </w:r>
    </w:p>
    <w:p w14:paraId="2F730A54"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ab/>
        <w:t>Acordul tacit nu operează pentru instituțiile din SNAOPSN, ale căror avize rămân obligatorii și se obțin potrivit procedurii proprii, conform art. 269 alin. (15) din Cod. Acordul unic nu se emite înainte de primirea avizului acestora.</w:t>
      </w:r>
    </w:p>
    <w:p w14:paraId="23A9635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6B6017BF" w14:textId="1854E1CA"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17. Reuniunile de lucru ale Comisiei</w:t>
      </w:r>
    </w:p>
    <w:p w14:paraId="607BF56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Comisia nu funcționează prin plen deliberativ periodic și își desfășoară activitatea, de regulă, prin procedură electronică.</w:t>
      </w:r>
    </w:p>
    <w:p w14:paraId="0E82ED9B" w14:textId="33A95866"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r>
      <w:r w:rsidR="002F0087" w:rsidRPr="002F0087">
        <w:rPr>
          <w:rFonts w:ascii="Times New Roman" w:eastAsia="Times New Roman" w:hAnsi="Times New Roman" w:cs="Times New Roman"/>
          <w:kern w:val="0"/>
          <w:sz w:val="28"/>
          <w:szCs w:val="24"/>
          <w:lang w:eastAsia="ro-RO"/>
          <w14:ligatures w14:val="none"/>
        </w:rPr>
        <w:t>Președintele convoacă o reuniune de lucru, care poate fi organizată online sau la sediul Consiliului Județean, în conformitate cu prevederile art. 307 alin. (6) din C</w:t>
      </w:r>
      <w:r w:rsidR="002F0087">
        <w:rPr>
          <w:rFonts w:ascii="Times New Roman" w:eastAsia="Times New Roman" w:hAnsi="Times New Roman" w:cs="Times New Roman"/>
          <w:kern w:val="0"/>
          <w:sz w:val="28"/>
          <w:szCs w:val="24"/>
          <w:lang w:eastAsia="ro-RO"/>
          <w14:ligatures w14:val="none"/>
        </w:rPr>
        <w:t>od</w:t>
      </w:r>
      <w:r w:rsidR="002F0087" w:rsidRPr="002F0087">
        <w:rPr>
          <w:rFonts w:ascii="Times New Roman" w:eastAsia="Times New Roman" w:hAnsi="Times New Roman" w:cs="Times New Roman"/>
          <w:kern w:val="0"/>
          <w:sz w:val="28"/>
          <w:szCs w:val="24"/>
          <w:lang w:eastAsia="ro-RO"/>
          <w14:ligatures w14:val="none"/>
        </w:rPr>
        <w:t xml:space="preserve">, atunci când modificarea solicitată </w:t>
      </w:r>
      <w:r w:rsidR="002F0087">
        <w:rPr>
          <w:rFonts w:ascii="Times New Roman" w:eastAsia="Times New Roman" w:hAnsi="Times New Roman" w:cs="Times New Roman"/>
          <w:kern w:val="0"/>
          <w:sz w:val="28"/>
          <w:szCs w:val="24"/>
          <w:lang w:eastAsia="ro-RO"/>
          <w14:ligatures w14:val="none"/>
        </w:rPr>
        <w:t xml:space="preserve">printr-un aviz </w:t>
      </w:r>
      <w:r w:rsidR="002F0087" w:rsidRPr="002F0087">
        <w:rPr>
          <w:rFonts w:ascii="Times New Roman" w:eastAsia="Times New Roman" w:hAnsi="Times New Roman" w:cs="Times New Roman"/>
          <w:kern w:val="0"/>
          <w:sz w:val="28"/>
          <w:szCs w:val="24"/>
          <w:lang w:eastAsia="ro-RO"/>
          <w14:ligatures w14:val="none"/>
        </w:rPr>
        <w:t>este de natură să producă efecte asupra condițiilor stabilite prin avizele emise pentru ceilalți membri</w:t>
      </w:r>
      <w:r w:rsidR="002F0087">
        <w:rPr>
          <w:rFonts w:ascii="Times New Roman" w:eastAsia="Times New Roman" w:hAnsi="Times New Roman" w:cs="Times New Roman"/>
          <w:kern w:val="0"/>
          <w:sz w:val="28"/>
          <w:szCs w:val="24"/>
          <w:lang w:eastAsia="ro-RO"/>
          <w14:ligatures w14:val="none"/>
        </w:rPr>
        <w:t>,</w:t>
      </w:r>
      <w:r w:rsidR="002F0087" w:rsidRPr="002F0087">
        <w:rPr>
          <w:rFonts w:ascii="Times New Roman" w:eastAsia="Times New Roman" w:hAnsi="Times New Roman" w:cs="Times New Roman"/>
          <w:kern w:val="0"/>
          <w:sz w:val="28"/>
          <w:szCs w:val="24"/>
          <w:lang w:eastAsia="ro-RO"/>
          <w14:ligatures w14:val="none"/>
        </w:rPr>
        <w:t xml:space="preserve"> ori la solicitarea motivată a cel puțin unui membru.</w:t>
      </w:r>
    </w:p>
    <w:p w14:paraId="4FE1FDB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La reuniune participă numai membrii afectați, personalul secretariatului și, dacă este util, solicitantul ori proiectantul. Reuniunea nu modifică competența și răspunderea fiecărui membru și nu suspendă termenele legale.</w:t>
      </w:r>
    </w:p>
    <w:p w14:paraId="2BCF4E5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În lipsa armonizării condițiilor incompatibile, acestea se comunică solicitantului împreună cu analiza prevăzută la art. 14 alin. (3), spre conciliere prin documentația revizuită.</w:t>
      </w:r>
    </w:p>
    <w:p w14:paraId="4AFD38EB"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Secretariatul întocmește o minută a reuniunii, semnată de președinte și de secretar, cu concluziile de coordonare. Minuta nu ține loc de aviz sau de acord.</w:t>
      </w:r>
    </w:p>
    <w:p w14:paraId="05E8CE55" w14:textId="77777777" w:rsidR="002F0087" w:rsidRPr="00EB76A1" w:rsidRDefault="002F0087"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6F7D7CF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C30EC26" w14:textId="44FE735E"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VI</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ACORDUL UNIC</w:t>
      </w:r>
    </w:p>
    <w:p w14:paraId="697E0B09" w14:textId="77777777" w:rsidR="001F2131" w:rsidRPr="00EB76A1" w:rsidRDefault="001F213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3BE0398F" w14:textId="45A0CB0A"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18. Condițiile de finalizare și emiterea acordului unic</w:t>
      </w:r>
    </w:p>
    <w:p w14:paraId="240CEEE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Procedura se finalizează prin acord unic după ce, pentru toate avizele și acordurile aflate în perimetrul opțiunii, există una dintre următoarele situații: act favorabil, act favorabil cu condiții, aviz sau acord considerat acordat tacit, în condițiile art. 16.</w:t>
      </w:r>
    </w:p>
    <w:p w14:paraId="1F36DAF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(2)</w:t>
      </w:r>
      <w:r w:rsidRPr="00EB76A1">
        <w:rPr>
          <w:rFonts w:ascii="Times New Roman" w:eastAsia="Times New Roman" w:hAnsi="Times New Roman" w:cs="Times New Roman"/>
          <w:kern w:val="0"/>
          <w:sz w:val="28"/>
          <w:szCs w:val="24"/>
          <w:lang w:eastAsia="ro-RO"/>
          <w14:ligatures w14:val="none"/>
        </w:rPr>
        <w:tab/>
        <w:t>Acordul unic se emite în cel mult 5 zile lucrătoare de la data îndeplinirii condițiilor prevăzute la alin. (1) și după dovada achitării taxelor și tarifelor datorate emitenților, potrivit art. 24.</w:t>
      </w:r>
    </w:p>
    <w:p w14:paraId="167BA3B5"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Acordul unic se semnează de președintele Comisiei și de secretarul Comisiei. În cazul în care un model-cadru obligatoriu, aprobat prin act normativ, stabilește o altă formulă de semnare, aceasta se aplică de drept.</w:t>
      </w:r>
    </w:p>
    <w:p w14:paraId="2044060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Actul nefavorabil emis de un membru se comunică de îndată solicitantului și membrilor ale căror condiții sunt afectate, iar acordul unic nu se emite până la înlăturarea legală a impedimentului. Dacă actul nefavorabil privește o soluție care nu poate fi remediată în cadrul aceleiași documentații, secretariatul închide procedura printr-o informare motivată, la care anexează actul emitentului. Informarea nu se substituie actului nefavorabil al emitentului și nu constituie un refuz al Comisiei. Documentația poate fi depusă ca documentație nouă.</w:t>
      </w:r>
    </w:p>
    <w:p w14:paraId="6CA85258"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Termenul de 30 de zile calendaristice pentru emiterea autorizației de construire se calculează de la data emiterii acordului unic, potrivit art. 273 alin. (3) din Cod.</w:t>
      </w:r>
    </w:p>
    <w:p w14:paraId="657E506C" w14:textId="69A6CC1A"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06BFA53" w14:textId="27283110"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19. Conținutul acordului unic</w:t>
      </w:r>
    </w:p>
    <w:p w14:paraId="196EFB7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Acordul unic cuprinde cel puțin:</w:t>
      </w:r>
    </w:p>
    <w:p w14:paraId="51B2291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datele solicitantului, ale imobilului și ale investiției;</w:t>
      </w:r>
    </w:p>
    <w:p w14:paraId="3ADE88C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certificatul de urbanism și autoritatea competentă să emită autorizația;</w:t>
      </w:r>
    </w:p>
    <w:p w14:paraId="06313F9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lista avizelor și acordurilor obținute prin Comisie, cu emitentul, numărul, data și soluția fiecăruia;</w:t>
      </w:r>
    </w:p>
    <w:p w14:paraId="2A603CE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condițiile tehnice care trebuie respectate, astfel cum au fost înscrise de emitent în actul propriu;</w:t>
      </w:r>
    </w:p>
    <w:p w14:paraId="490DF9C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avizele și acordurile considerate acordate tacit, cu indicarea datei împlinirii termenului și a documentelor depuse potrivit art. 16 alin. (4);</w:t>
      </w:r>
    </w:p>
    <w:p w14:paraId="3833610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f)</w:t>
      </w:r>
      <w:r w:rsidRPr="00EB76A1">
        <w:rPr>
          <w:rFonts w:ascii="Times New Roman" w:eastAsia="Times New Roman" w:hAnsi="Times New Roman" w:cs="Times New Roman"/>
          <w:kern w:val="0"/>
          <w:sz w:val="28"/>
          <w:szCs w:val="24"/>
          <w:lang w:eastAsia="ro-RO"/>
          <w14:ligatures w14:val="none"/>
        </w:rPr>
        <w:tab/>
        <w:t>avizele obținute independent și cele deja obținute și aflate în valabilitate, necesare continuării procedurii, fără ca acordul unic să le substituie;</w:t>
      </w:r>
    </w:p>
    <w:p w14:paraId="261DB29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g)</w:t>
      </w:r>
      <w:r w:rsidRPr="00EB76A1">
        <w:rPr>
          <w:rFonts w:ascii="Times New Roman" w:eastAsia="Times New Roman" w:hAnsi="Times New Roman" w:cs="Times New Roman"/>
          <w:kern w:val="0"/>
          <w:sz w:val="28"/>
          <w:szCs w:val="24"/>
          <w:lang w:eastAsia="ro-RO"/>
          <w14:ligatures w14:val="none"/>
        </w:rPr>
        <w:tab/>
        <w:t>lista anexelor care fac parte din acordul unic.</w:t>
      </w:r>
    </w:p>
    <w:p w14:paraId="5C5A1AE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Avizele și acordurile individuale se anexează acordului unic și își păstrează conținutul, condițiile și răspunderea emitentului.</w:t>
      </w:r>
    </w:p>
    <w:p w14:paraId="07C72960"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Acordul unic nu înlocuiește actele care, potrivit art. 3 alin. (3) și legislației speciale, se emit independent de Comisie.</w:t>
      </w:r>
    </w:p>
    <w:p w14:paraId="484DE8CE" w14:textId="77777777" w:rsidR="00695605" w:rsidRDefault="00695605"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57B4EB10" w14:textId="77777777" w:rsidR="00695605" w:rsidRDefault="00695605"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A7241A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7E8AFB59" w14:textId="29E55573"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20. Efectele și valabilitatea</w:t>
      </w:r>
    </w:p>
    <w:p w14:paraId="34D97D5E"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Acordul unic atestă parcurgerea procedurii de obținere a avizelor și acordurilor prin Comisie și se utilizează la continuarea procedurii de autorizare sau, după caz, la avizarea și aprobarea proiectului urbanistic de detaliu.</w:t>
      </w:r>
    </w:p>
    <w:p w14:paraId="16AB58B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Acordul unic și avizele aferente se anexează autorizației și devin parte din aceasta.</w:t>
      </w:r>
    </w:p>
    <w:p w14:paraId="46763419"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 xml:space="preserve">Avizele și acordurile individuale, precum și acordul unic își păstrează valabilitatea potrivit art. 311 din Cod. Transferul drepturilor și obligațiilor </w:t>
      </w:r>
      <w:r w:rsidRPr="00EB76A1">
        <w:rPr>
          <w:rFonts w:ascii="Times New Roman" w:eastAsia="Times New Roman" w:hAnsi="Times New Roman" w:cs="Times New Roman"/>
          <w:kern w:val="0"/>
          <w:sz w:val="28"/>
          <w:szCs w:val="24"/>
          <w:lang w:eastAsia="ro-RO"/>
          <w14:ligatures w14:val="none"/>
        </w:rPr>
        <w:lastRenderedPageBreak/>
        <w:t>aferente acestora, în situația schimbării titularului înainte de emiterea autorizației, operează de drept, potrivit art. 312 alin. (2) din Cod.</w:t>
      </w:r>
    </w:p>
    <w:p w14:paraId="7123245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FB98CF5" w14:textId="090FBEF5"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21. Comunicarea, registrul și arhivarea</w:t>
      </w:r>
    </w:p>
    <w:p w14:paraId="4C615FB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Avizele și acordurile individuale se comunică solicitantului o singură dată, împreună cu acordul unic. Fac excepție actele de solicitare a completării, care se comunică potrivit art. 14, și actele nefavorabile, care se comunică de îndată, potrivit art. 18 alin. (4).</w:t>
      </w:r>
    </w:p>
    <w:p w14:paraId="4EA262C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Actele Comisiei se comunică prin canalul electronic, în ziua emiterii, solicitantului și membrilor. Acordul unic se comunică și autorității competente să emită autorizația, respectiv unității administrativ-teritoriale cu care există convenție de colaborare.</w:t>
      </w:r>
    </w:p>
    <w:p w14:paraId="46B4179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Secretariatul ține, în format electronic, registrul acordurilor unice emise,  cuprinzând pentru fiecare documentație cel puțin: numărul și data cererii, solicitantul, unitatea administrativ-teritorială, imobilul, certificatul de urbanism, obiectul lucrării, membrii cărora li s-a transmis documentația, data documentației complete și corecte, termenele, solicitările de completare și data răspunsului, actele emise, acordurile tacite consemnate, taxele și tarifele evidențiate, numărul și data acordului unic și data comunicării.</w:t>
      </w:r>
    </w:p>
    <w:p w14:paraId="05FA485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Registrul consemnează și regimul juridic al fiecărui dosar: anterior Codului, sub Cod sau mixt, potrivit art. 27.</w:t>
      </w:r>
    </w:p>
    <w:p w14:paraId="6DB5D97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Registrul se comunică Inspectoratului Județean de Stat în Construcții în prima decadă a fiecărei luni, pentru luna anterioară, potrivit art. 315 alin. (2) din Cod.</w:t>
      </w:r>
    </w:p>
    <w:p w14:paraId="74649C58"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(6)</w:t>
      </w:r>
      <w:r w:rsidRPr="00EB76A1">
        <w:rPr>
          <w:rFonts w:ascii="Times New Roman" w:eastAsia="Times New Roman" w:hAnsi="Times New Roman" w:cs="Times New Roman"/>
          <w:kern w:val="0"/>
          <w:sz w:val="28"/>
          <w:szCs w:val="24"/>
          <w:lang w:eastAsia="ro-RO"/>
          <w14:ligatures w14:val="none"/>
        </w:rPr>
        <w:tab/>
        <w:t>Dosarul electronic al fiecărei documentații, cuprinzând toate versiunile documentației, comunicările, dovezile de transmitere, actele emise, declarațiile privind acordul tacit, acordul unic și, după caz, minutele reuniunilor de lucru, se arhivează potrivit nomenclatorului arhivistic.</w:t>
      </w:r>
    </w:p>
    <w:p w14:paraId="07EDF07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68C4BFF0" w14:textId="1E329911"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t>CAPITOLUL VII</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DREPTURILE ȘI OBLIGAȚIILE MEMBRILOR. TAXE ȘI TARIFE</w:t>
      </w:r>
    </w:p>
    <w:p w14:paraId="62D06D86" w14:textId="0BE65409"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22.</w:t>
      </w:r>
      <w:r w:rsidR="001F2131" w:rsidRPr="001F2131">
        <w:rPr>
          <w:rFonts w:ascii="Times New Roman" w:eastAsia="Times New Roman" w:hAnsi="Times New Roman" w:cs="Times New Roman"/>
          <w:b/>
          <w:bCs/>
          <w:kern w:val="0"/>
          <w:sz w:val="28"/>
          <w:szCs w:val="24"/>
          <w:lang w:eastAsia="ro-RO"/>
          <w14:ligatures w14:val="none"/>
        </w:rPr>
        <w:t xml:space="preserve"> </w:t>
      </w:r>
      <w:r w:rsidRPr="001F2131">
        <w:rPr>
          <w:rFonts w:ascii="Times New Roman" w:eastAsia="Times New Roman" w:hAnsi="Times New Roman" w:cs="Times New Roman"/>
          <w:b/>
          <w:bCs/>
          <w:kern w:val="0"/>
          <w:sz w:val="28"/>
          <w:szCs w:val="24"/>
          <w:lang w:eastAsia="ro-RO"/>
          <w14:ligatures w14:val="none"/>
        </w:rPr>
        <w:t>Obligațiile membrilor</w:t>
      </w:r>
    </w:p>
    <w:p w14:paraId="7106AB6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 xml:space="preserve">Membrii Comisiei au obligația: </w:t>
      </w:r>
    </w:p>
    <w:p w14:paraId="27EAAD0B"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 xml:space="preserve">să analizeze documentațiile și să transmită răspunsurile în termenele prevăzute, exclusiv în domeniul propriu de competență; </w:t>
      </w:r>
    </w:p>
    <w:p w14:paraId="70FD470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 xml:space="preserve">să formuleze condițiile în limitele prevăzute la art. 13 alin. (2); să formuleze o singură solicitare de completare, motivată, în condițiile art. 14; </w:t>
      </w:r>
    </w:p>
    <w:p w14:paraId="3F99BA3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 xml:space="preserve">să participe la reuniunile de lucru atunci când condițiile formulate influențează alte avize; </w:t>
      </w:r>
    </w:p>
    <w:p w14:paraId="0788D8EC"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 xml:space="preserve">să păstreze confidențialitatea datelor cu caracter personal și a informațiilor clasificate; </w:t>
      </w:r>
    </w:p>
    <w:p w14:paraId="27F6978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 xml:space="preserve">să comunice de îndată secretariatului orice schimbare a reprezentanților sau a datelor de contact; </w:t>
      </w:r>
    </w:p>
    <w:p w14:paraId="3A1FB597"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f.</w:t>
      </w:r>
      <w:r w:rsidRPr="00EB76A1">
        <w:rPr>
          <w:rFonts w:ascii="Times New Roman" w:eastAsia="Times New Roman" w:hAnsi="Times New Roman" w:cs="Times New Roman"/>
          <w:kern w:val="0"/>
          <w:sz w:val="28"/>
          <w:szCs w:val="24"/>
          <w:lang w:eastAsia="ro-RO"/>
          <w14:ligatures w14:val="none"/>
        </w:rPr>
        <w:tab/>
        <w:t xml:space="preserve">să nu participe la analiza documentațiilor la a căror elaborare au contribuit ori în care au un interes personal, situație pe care o comunică în scris </w:t>
      </w:r>
      <w:r w:rsidRPr="00EB76A1">
        <w:rPr>
          <w:rFonts w:ascii="Times New Roman" w:eastAsia="Times New Roman" w:hAnsi="Times New Roman" w:cs="Times New Roman"/>
          <w:kern w:val="0"/>
          <w:sz w:val="28"/>
          <w:szCs w:val="24"/>
          <w:lang w:eastAsia="ro-RO"/>
          <w14:ligatures w14:val="none"/>
        </w:rPr>
        <w:lastRenderedPageBreak/>
        <w:t>secretariatului. Regimul conflictului de interese și al incompatibilităților este cel prevăzut de legea aplicabilă fiecărei categorii de membri.</w:t>
      </w:r>
    </w:p>
    <w:p w14:paraId="6D86276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Instituțiile și operatorii membri au obligațiile prevăzute la art. 316 din Cod, între care:</w:t>
      </w:r>
    </w:p>
    <w:p w14:paraId="4EA1F062"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a.</w:t>
      </w:r>
      <w:r w:rsidRPr="00EB76A1">
        <w:rPr>
          <w:rFonts w:ascii="Times New Roman" w:eastAsia="Times New Roman" w:hAnsi="Times New Roman" w:cs="Times New Roman"/>
          <w:kern w:val="0"/>
          <w:sz w:val="28"/>
          <w:szCs w:val="24"/>
          <w:lang w:eastAsia="ro-RO"/>
          <w14:ligatures w14:val="none"/>
        </w:rPr>
        <w:tab/>
        <w:t>publicarea conținutului-cadru al documentațiilor specifice și a modului de calcul al taxelor și tarifelor și comunicarea acestora secretariatului;</w:t>
      </w:r>
    </w:p>
    <w:p w14:paraId="358FBD5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b.</w:t>
      </w:r>
      <w:r w:rsidRPr="00EB76A1">
        <w:rPr>
          <w:rFonts w:ascii="Times New Roman" w:eastAsia="Times New Roman" w:hAnsi="Times New Roman" w:cs="Times New Roman"/>
          <w:kern w:val="0"/>
          <w:sz w:val="28"/>
          <w:szCs w:val="24"/>
          <w:lang w:eastAsia="ro-RO"/>
          <w14:ligatures w14:val="none"/>
        </w:rPr>
        <w:tab/>
        <w:t>asigurarea depunerii cererilor și emiterii avizelor în format digital;</w:t>
      </w:r>
    </w:p>
    <w:p w14:paraId="665F6EF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c.</w:t>
      </w:r>
      <w:r w:rsidRPr="00EB76A1">
        <w:rPr>
          <w:rFonts w:ascii="Times New Roman" w:eastAsia="Times New Roman" w:hAnsi="Times New Roman" w:cs="Times New Roman"/>
          <w:kern w:val="0"/>
          <w:sz w:val="28"/>
          <w:szCs w:val="24"/>
          <w:lang w:eastAsia="ro-RO"/>
          <w14:ligatures w14:val="none"/>
        </w:rPr>
        <w:tab/>
        <w:t>menținerea aceluiași responsabil de dosar pe durata procedurii, cu excepțiile legale;</w:t>
      </w:r>
    </w:p>
    <w:p w14:paraId="763215E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d.</w:t>
      </w:r>
      <w:r w:rsidRPr="00EB76A1">
        <w:rPr>
          <w:rFonts w:ascii="Times New Roman" w:eastAsia="Times New Roman" w:hAnsi="Times New Roman" w:cs="Times New Roman"/>
          <w:kern w:val="0"/>
          <w:sz w:val="28"/>
          <w:szCs w:val="24"/>
          <w:lang w:eastAsia="ro-RO"/>
          <w14:ligatures w14:val="none"/>
        </w:rPr>
        <w:tab/>
        <w:t>gestionarea legală a informațiilor clasificate;</w:t>
      </w:r>
    </w:p>
    <w:p w14:paraId="7A7F6D59"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e.</w:t>
      </w:r>
      <w:r w:rsidRPr="00EB76A1">
        <w:rPr>
          <w:rFonts w:ascii="Times New Roman" w:eastAsia="Times New Roman" w:hAnsi="Times New Roman" w:cs="Times New Roman"/>
          <w:kern w:val="0"/>
          <w:sz w:val="28"/>
          <w:szCs w:val="24"/>
          <w:lang w:eastAsia="ro-RO"/>
          <w14:ligatures w14:val="none"/>
        </w:rPr>
        <w:tab/>
        <w:t>realizarea semestrială a unei analize a documentațiilor pentru care avizele au fost considerate acordate tacit și dispunerea măsurilor organizatorice pentru reducerea acestor situații, potrivit art. 316 alin. (1) lit. l) din Cod, cu comunicarea rezultatelor secretariatului.</w:t>
      </w:r>
    </w:p>
    <w:p w14:paraId="44F5810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0592EA25" w14:textId="6A6E1FB3"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23. Participarea la lucrările Comisiei</w:t>
      </w:r>
    </w:p>
    <w:p w14:paraId="702D35D3"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Participarea reprezentanților instituțiilor și operatorilor la activitatea Comisiei se realizează în exercitarea atribuțiilor de serviciu și nu afectează raporturile de serviciu sau de muncă cu instituția reprezentată. Prezentul regulament nu instituie o indemnizație de participare, Codul neprevăzând un asemenea drept pentru membrii comisiei de acord unic.</w:t>
      </w:r>
    </w:p>
    <w:p w14:paraId="2DEA9DE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1176DC30" w14:textId="5EF6B597"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24. Taxe și tarife</w:t>
      </w:r>
    </w:p>
    <w:p w14:paraId="17E9CCB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Taxele și tarifele pentru emiterea avizelor și acordurilor individuale obținute prin Comisie se stabilesc de fiecare instituție sau operator emitent, potrivit reglementărilor specifice fiecărui domeniu de avizare, și se suportă de solicitant, potrivit art. 308 alin. (1) din Cod.</w:t>
      </w:r>
    </w:p>
    <w:p w14:paraId="7F5F79EB" w14:textId="69A8B37F"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 xml:space="preserve">Cuantumurile taxelor și tarifelor practicate se comunică secretariatului prin fișa de nominalizare și prin protocol, se publică pe pagina Comisiei și se achită de solicitant prin intermediul www.ghiseul.ro/ghișeul public, sau prin platforma Ghiseul Unic a Consiliului Judetean </w:t>
      </w:r>
      <w:r w:rsidR="00031B73">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Sumele intră într-un cont colector, sub formă de sume de mandat, de unde se virează emitenților în maximum 24 de ore de la primire. Secretariatul publică informațiile comunicate oficial de emitenți, fără a răspunde de stabilirea cuantumului acestora.</w:t>
      </w:r>
    </w:p>
    <w:p w14:paraId="0CD52CBA" w14:textId="12C68558"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 xml:space="preserve">Consiliul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xml:space="preserve"> poate stabili, prin hotărâre, o taxă specială pentru emiterea acordului unic, în condițiile Legii nr. 227/2015 privind Codul fiscal, potrivit art. 308 alin. (3) din Cod. În lipsa unei asemenea hotărâri, nu se percepe taxă specială pentru acordul unic.</w:t>
      </w:r>
    </w:p>
    <w:p w14:paraId="692194E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Nu se percep taxe sau tarife de analiză, tarife de consultanță ori altele asemenea pentru proiectele de lucrări publice, atât pentru construcții noi, cât și pentru intervenții la construcții existente, potrivit art. 316 alin. (1) lit. i) din Cod.</w:t>
      </w:r>
    </w:p>
    <w:p w14:paraId="4859C6F2"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(5)</w:t>
      </w:r>
      <w:r w:rsidRPr="00EB76A1">
        <w:rPr>
          <w:rFonts w:ascii="Times New Roman" w:eastAsia="Times New Roman" w:hAnsi="Times New Roman" w:cs="Times New Roman"/>
          <w:kern w:val="0"/>
          <w:sz w:val="28"/>
          <w:szCs w:val="24"/>
          <w:lang w:eastAsia="ro-RO"/>
          <w14:ligatures w14:val="none"/>
        </w:rPr>
        <w:tab/>
        <w:t>Documentațiile aferente investițiilor finanțate din Planul național de redresare și reziliență și/sau din alte fonduri europene se analizează și se avizează cu prioritate și în regim de urgență.</w:t>
      </w:r>
    </w:p>
    <w:p w14:paraId="555D9E8A"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731FCC5" w14:textId="4D85F2A7"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EB76A1">
        <w:rPr>
          <w:rFonts w:ascii="Times New Roman" w:eastAsia="Times New Roman" w:hAnsi="Times New Roman" w:cs="Times New Roman"/>
          <w:b/>
          <w:bCs/>
          <w:kern w:val="0"/>
          <w:sz w:val="28"/>
          <w:szCs w:val="24"/>
          <w:lang w:eastAsia="ro-RO"/>
          <w14:ligatures w14:val="none"/>
        </w:rPr>
        <w:lastRenderedPageBreak/>
        <w:t>CAPITOLUL VIII</w:t>
      </w:r>
      <w:r w:rsidR="001F2131">
        <w:rPr>
          <w:rFonts w:ascii="Times New Roman" w:eastAsia="Times New Roman" w:hAnsi="Times New Roman" w:cs="Times New Roman"/>
          <w:b/>
          <w:bCs/>
          <w:kern w:val="0"/>
          <w:sz w:val="28"/>
          <w:szCs w:val="24"/>
          <w:lang w:eastAsia="ro-RO"/>
          <w14:ligatures w14:val="none"/>
        </w:rPr>
        <w:t xml:space="preserve">. </w:t>
      </w:r>
      <w:r w:rsidRPr="00EB76A1">
        <w:rPr>
          <w:rFonts w:ascii="Times New Roman" w:eastAsia="Times New Roman" w:hAnsi="Times New Roman" w:cs="Times New Roman"/>
          <w:b/>
          <w:bCs/>
          <w:kern w:val="0"/>
          <w:sz w:val="28"/>
          <w:szCs w:val="24"/>
          <w:lang w:eastAsia="ro-RO"/>
          <w14:ligatures w14:val="none"/>
        </w:rPr>
        <w:t>TRANSPARENȚĂ, CORELARE ȘI DISPOZIȚII TRANZITORII ȘI FINALE</w:t>
      </w:r>
    </w:p>
    <w:p w14:paraId="2A099478" w14:textId="77777777" w:rsidR="00EB76A1" w:rsidRP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13BAD6A7" w14:textId="485993A0"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25.</w:t>
      </w:r>
      <w:r w:rsidR="001F2131" w:rsidRPr="001F2131">
        <w:rPr>
          <w:rFonts w:ascii="Times New Roman" w:eastAsia="Times New Roman" w:hAnsi="Times New Roman" w:cs="Times New Roman"/>
          <w:b/>
          <w:bCs/>
          <w:kern w:val="0"/>
          <w:sz w:val="28"/>
          <w:szCs w:val="24"/>
          <w:lang w:eastAsia="ro-RO"/>
          <w14:ligatures w14:val="none"/>
        </w:rPr>
        <w:t xml:space="preserve"> </w:t>
      </w:r>
      <w:r w:rsidRPr="001F2131">
        <w:rPr>
          <w:rFonts w:ascii="Times New Roman" w:eastAsia="Times New Roman" w:hAnsi="Times New Roman" w:cs="Times New Roman"/>
          <w:b/>
          <w:bCs/>
          <w:kern w:val="0"/>
          <w:sz w:val="28"/>
          <w:szCs w:val="24"/>
          <w:lang w:eastAsia="ro-RO"/>
          <w14:ligatures w14:val="none"/>
        </w:rPr>
        <w:t>Publicitate</w:t>
      </w:r>
    </w:p>
    <w:p w14:paraId="01C98A48" w14:textId="0C8A629D"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 xml:space="preserve">Pe pagina de internet a Consiliului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xml:space="preserve"> și, după caz, în platforma electronică dedicată se publică: prezentul regulament, componența instituțională a Comisiei, canalul electronic și instrucțiunile de depunere, lista protocoalelor încheiate, datele de contact, taxele și tarifele comunicate de emitenți și formularele utilizate. Informațiile se actualizează ori de câte ori se modifică legislația, componența, protocolul, tariful ori configurația tehnică. Informațiile privind autorizațiile emise pe baza acordurilor unice se publică de autoritatea emitentă a autorizației, potrivit art. 314 din Cod.</w:t>
      </w:r>
    </w:p>
    <w:p w14:paraId="77204BB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2BCA95D1" w14:textId="0944A3FD"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26. Corelarea cu Comisia locală de avizare integrată</w:t>
      </w:r>
    </w:p>
    <w:p w14:paraId="15E24C78"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Avizele și acordurile obținute la faza planului urbanistic zonal, prin comisia locală de avizare integrată sau individual, nu se solicită din nou prin Comisie, în condițiile art. 3 alin. (7).</w:t>
      </w:r>
    </w:p>
    <w:p w14:paraId="259C6466"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Secretariatul Comisiei și secretariatul comisiei locale de avizare integrată, organizate la nivelul aceleiași structuri de specialitate, își comunică reciproc situația documentațiilor aflate în lucru pentru același imobil, în vederea evitării solicitării repetate a acelorași avize și a corelării condițiilor impuse.</w:t>
      </w:r>
    </w:p>
    <w:p w14:paraId="2AE03A33"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09E72D5A" w14:textId="04C3983C" w:rsidR="001F213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27. Regimul tranzitoriu</w:t>
      </w:r>
    </w:p>
    <w:p w14:paraId="365D970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Certificatele de urbanism emise anterior datei de 25 august 2026 își păstrează valabilitatea, iar autorizațiile se emit în baza avizelor solicitate prin acele certificate, potrivit dispozițiilor legale în vigoare la data emiterii lor, conform art. 582 alin. (4) din Cod. Lista avizelor și acordurilor aplicabilă este, în aceste cazuri, cea înscrisă în certificatul de urbanism.</w:t>
      </w:r>
    </w:p>
    <w:p w14:paraId="3F78A790"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Solicitantul care deține un certificat de urbanism emis anterior poate depune documentația la Comisie pentru obținerea avizelor neobținute, dintre cele care, potrivit art. 3, se obțin prin Comisie, în măsura compatibilă cu regimul juridic aplicabil dosarului.</w:t>
      </w:r>
    </w:p>
    <w:p w14:paraId="12C110F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La schimbarea competenței de emitere a autorizației, aceasta se emite în baza certificatului de urbanism aflat în valabilitate, potrivit art. 582 alin. (5) din Cod.</w:t>
      </w:r>
    </w:p>
    <w:p w14:paraId="13B56CF0"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Procedura simplificată prevăzută la art. 582 alin. (2) din Cod privește documentațiile de amenajare a teritoriului și de urbanism și se realizează prin comisia de avizare integrată, ea nu se aplică procedurii Comisiei.</w:t>
      </w:r>
    </w:p>
    <w:p w14:paraId="733504F4"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221016A" w14:textId="38BDE072"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28. Protocoalele de colaborare</w:t>
      </w:r>
    </w:p>
    <w:p w14:paraId="2EFCD552" w14:textId="6758423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 xml:space="preserve">Cooperarea cu emitenții de avize și acorduri se stabilește, potrivit art. 307 alin. (1) din Cod, prin protocoale încheiate între Județul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xml:space="preserve">, prin Consiliul Județean </w:t>
      </w:r>
      <w:r>
        <w:rPr>
          <w:rFonts w:ascii="Times New Roman" w:eastAsia="Times New Roman" w:hAnsi="Times New Roman" w:cs="Times New Roman"/>
          <w:kern w:val="0"/>
          <w:sz w:val="28"/>
          <w:szCs w:val="24"/>
          <w:lang w:eastAsia="ro-RO"/>
          <w14:ligatures w14:val="none"/>
        </w:rPr>
        <w:t>Vrancea</w:t>
      </w:r>
      <w:r w:rsidRPr="00EB76A1">
        <w:rPr>
          <w:rFonts w:ascii="Times New Roman" w:eastAsia="Times New Roman" w:hAnsi="Times New Roman" w:cs="Times New Roman"/>
          <w:kern w:val="0"/>
          <w:sz w:val="28"/>
          <w:szCs w:val="24"/>
          <w:lang w:eastAsia="ro-RO"/>
          <w14:ligatures w14:val="none"/>
        </w:rPr>
        <w:t>, și fiecare emitent, care cuprind cel puțin: datele oficiale de comunicare și persoanele de contact; conținutul-cadru al documentației specifice, cuantumul taxelor și tarifelor și modalitatea de plată, fluxul electronic și regulile de arhivare.</w:t>
      </w:r>
    </w:p>
    <w:p w14:paraId="3490654F"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lastRenderedPageBreak/>
        <w:t>(2)</w:t>
      </w:r>
      <w:r w:rsidRPr="00EB76A1">
        <w:rPr>
          <w:rFonts w:ascii="Times New Roman" w:eastAsia="Times New Roman" w:hAnsi="Times New Roman" w:cs="Times New Roman"/>
          <w:kern w:val="0"/>
          <w:sz w:val="28"/>
          <w:szCs w:val="24"/>
          <w:lang w:eastAsia="ro-RO"/>
          <w14:ligatures w14:val="none"/>
        </w:rPr>
        <w:tab/>
        <w:t>Protocoalele au caracter operațional. Ele nu pot modifica termenele, competențele sau efectele acordului tacit stabilite prin Cod, nu pot restrânge accesul solicitantului la procedura prevăzută de Cod și nu pot adăuga avize fără temei legal.</w:t>
      </w:r>
    </w:p>
    <w:p w14:paraId="228B5C38"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Secretariatul ține registrul protocoalelor și solicită actualizarea lor ori de câte ori intervin modificări legislative, instituționale, de competență, de tarif sau de infrastructură digitală.</w:t>
      </w:r>
    </w:p>
    <w:p w14:paraId="6EDAAB01"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575DA5FC" w14:textId="1F50CAF0" w:rsidR="00EB76A1" w:rsidRPr="001F213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sidRPr="001F2131">
        <w:rPr>
          <w:rFonts w:ascii="Times New Roman" w:eastAsia="Times New Roman" w:hAnsi="Times New Roman" w:cs="Times New Roman"/>
          <w:b/>
          <w:bCs/>
          <w:kern w:val="0"/>
          <w:sz w:val="28"/>
          <w:szCs w:val="24"/>
          <w:lang w:eastAsia="ro-RO"/>
          <w14:ligatures w14:val="none"/>
        </w:rPr>
        <w:t>Art. 29. Dispoziții finale</w:t>
      </w:r>
    </w:p>
    <w:p w14:paraId="3EB5A5FD"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(1)</w:t>
      </w:r>
      <w:r w:rsidRPr="00EB76A1">
        <w:rPr>
          <w:rFonts w:ascii="Times New Roman" w:eastAsia="Times New Roman" w:hAnsi="Times New Roman" w:cs="Times New Roman"/>
          <w:kern w:val="0"/>
          <w:sz w:val="28"/>
          <w:szCs w:val="24"/>
          <w:lang w:eastAsia="ro-RO"/>
          <w14:ligatures w14:val="none"/>
        </w:rPr>
        <w:tab/>
        <w:t>Prezentul regulament se completează cu prevederile Codului, ale Codului administrativ, ale Codului fiscal, ale ordinelor ministrului de resort și ale legislației specifice fiecărui domeniu de avizare. În caz de dispoziții contrare, prevalează actele normative de nivel superior.</w:t>
      </w:r>
    </w:p>
    <w:p w14:paraId="59ADB4E6"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(2)</w:t>
      </w:r>
      <w:r w:rsidRPr="00EB76A1">
        <w:rPr>
          <w:rFonts w:ascii="Times New Roman" w:eastAsia="Times New Roman" w:hAnsi="Times New Roman" w:cs="Times New Roman"/>
          <w:kern w:val="0"/>
          <w:sz w:val="28"/>
          <w:szCs w:val="24"/>
          <w:lang w:eastAsia="ro-RO"/>
          <w14:ligatures w14:val="none"/>
        </w:rPr>
        <w:tab/>
        <w:t>Aspectele strict operaționale care nu sunt stabilite expres prin prezentul regulament - structura registrului, formatul notificărilor și al adreselor, regulile de denumire a fișierelor, fluxurile din platformă, alertele privind termenele și rolurile tehnice - se stabilesc prin procedura internă de lucru a secretariatului, aprobată de arhitectul-șef, și se actualizează fără modificarea prezentului regulament.</w:t>
      </w:r>
    </w:p>
    <w:p w14:paraId="7801BB29" w14:textId="77777777" w:rsidR="00EB76A1" w:rsidRP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(3)</w:t>
      </w:r>
      <w:r w:rsidRPr="00EB76A1">
        <w:rPr>
          <w:rFonts w:ascii="Times New Roman" w:eastAsia="Times New Roman" w:hAnsi="Times New Roman" w:cs="Times New Roman"/>
          <w:kern w:val="0"/>
          <w:sz w:val="28"/>
          <w:szCs w:val="24"/>
          <w:lang w:eastAsia="ro-RO"/>
          <w14:ligatures w14:val="none"/>
        </w:rPr>
        <w:tab/>
        <w:t>Procedura internă nu poate modifica termenele, competențele, condițiile legale de emitere a acordului unic sau drepturile solicitantului.</w:t>
      </w:r>
    </w:p>
    <w:p w14:paraId="3E37E112" w14:textId="75760B67" w:rsidR="006D79F8"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r w:rsidRPr="00EB76A1">
        <w:rPr>
          <w:rFonts w:ascii="Times New Roman" w:eastAsia="Times New Roman" w:hAnsi="Times New Roman" w:cs="Times New Roman"/>
          <w:kern w:val="0"/>
          <w:sz w:val="28"/>
          <w:szCs w:val="24"/>
          <w:lang w:eastAsia="ro-RO"/>
          <w14:ligatures w14:val="none"/>
        </w:rPr>
        <w:t>(4)</w:t>
      </w:r>
      <w:r w:rsidRPr="00EB76A1">
        <w:rPr>
          <w:rFonts w:ascii="Times New Roman" w:eastAsia="Times New Roman" w:hAnsi="Times New Roman" w:cs="Times New Roman"/>
          <w:kern w:val="0"/>
          <w:sz w:val="28"/>
          <w:szCs w:val="24"/>
          <w:lang w:eastAsia="ro-RO"/>
          <w14:ligatures w14:val="none"/>
        </w:rPr>
        <w:tab/>
        <w:t>Prezentul regulament se aduce la cunoștință publică și intră în vigoare la data aducerii la cunoștință publică a hotărârii de aprobare.</w:t>
      </w:r>
    </w:p>
    <w:p w14:paraId="256F8ADE" w14:textId="77777777" w:rsidR="00EB76A1" w:rsidRDefault="00EB76A1"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5053E118" w14:textId="77777777" w:rsidR="00B607C3" w:rsidRDefault="00B607C3"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3D768457" w14:textId="77777777" w:rsidR="00B607C3" w:rsidRPr="00EB76A1" w:rsidRDefault="00B607C3" w:rsidP="00EB76A1">
      <w:pPr>
        <w:spacing w:after="0" w:line="240" w:lineRule="auto"/>
        <w:jc w:val="both"/>
        <w:rPr>
          <w:rFonts w:ascii="Times New Roman" w:eastAsia="Times New Roman" w:hAnsi="Times New Roman" w:cs="Times New Roman"/>
          <w:kern w:val="0"/>
          <w:sz w:val="28"/>
          <w:szCs w:val="24"/>
          <w:lang w:eastAsia="ro-RO"/>
          <w14:ligatures w14:val="none"/>
        </w:rPr>
      </w:pPr>
    </w:p>
    <w:p w14:paraId="0B71FED4" w14:textId="0102D51F" w:rsidR="00EB76A1" w:rsidRPr="009078C3" w:rsidRDefault="00EB76A1" w:rsidP="00EB76A1">
      <w:pPr>
        <w:spacing w:after="0" w:line="240" w:lineRule="auto"/>
        <w:ind w:left="2832"/>
        <w:jc w:val="both"/>
        <w:rPr>
          <w:rFonts w:ascii="Times New Roman" w:eastAsia="Times New Roman" w:hAnsi="Times New Roman" w:cs="Times New Roman"/>
          <w:b/>
          <w:bCs/>
          <w:kern w:val="0"/>
          <w:sz w:val="28"/>
          <w:szCs w:val="24"/>
          <w:lang w:eastAsia="ro-RO"/>
          <w14:ligatures w14:val="none"/>
        </w:rPr>
      </w:pPr>
      <w:r>
        <w:rPr>
          <w:rFonts w:ascii="Times New Roman" w:eastAsia="Times New Roman" w:hAnsi="Times New Roman" w:cs="Times New Roman"/>
          <w:b/>
          <w:bCs/>
          <w:kern w:val="0"/>
          <w:sz w:val="28"/>
          <w:szCs w:val="24"/>
          <w:lang w:eastAsia="ro-RO"/>
          <w14:ligatures w14:val="none"/>
        </w:rPr>
        <w:t xml:space="preserve">              </w:t>
      </w:r>
      <w:proofErr w:type="spellStart"/>
      <w:r w:rsidRPr="009078C3">
        <w:rPr>
          <w:rFonts w:ascii="Times New Roman" w:eastAsia="Times New Roman" w:hAnsi="Times New Roman" w:cs="Times New Roman"/>
          <w:b/>
          <w:bCs/>
          <w:kern w:val="0"/>
          <w:sz w:val="28"/>
          <w:szCs w:val="24"/>
          <w:lang w:eastAsia="ro-RO"/>
          <w14:ligatures w14:val="none"/>
        </w:rPr>
        <w:t>Preşedintele</w:t>
      </w:r>
      <w:proofErr w:type="spellEnd"/>
    </w:p>
    <w:p w14:paraId="2F49C516" w14:textId="77777777" w:rsidR="00EB76A1" w:rsidRPr="009078C3" w:rsidRDefault="00EB76A1" w:rsidP="00EB76A1">
      <w:pPr>
        <w:spacing w:after="0" w:line="240" w:lineRule="auto"/>
        <w:ind w:left="2832"/>
        <w:jc w:val="both"/>
        <w:rPr>
          <w:rFonts w:ascii="Times New Roman" w:eastAsia="Times New Roman" w:hAnsi="Times New Roman" w:cs="Times New Roman"/>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Consiliului Judeţean Vrancea</w:t>
      </w:r>
    </w:p>
    <w:p w14:paraId="3C1AAE11" w14:textId="79325CD6"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r>
        <w:rPr>
          <w:rFonts w:ascii="Times New Roman" w:eastAsia="Times New Roman" w:hAnsi="Times New Roman" w:cs="Times New Roman"/>
          <w:b/>
          <w:bCs/>
          <w:kern w:val="0"/>
          <w:sz w:val="28"/>
          <w:szCs w:val="24"/>
          <w:lang w:eastAsia="ro-RO"/>
          <w14:ligatures w14:val="none"/>
        </w:rPr>
        <w:t xml:space="preserve">                                                    </w:t>
      </w:r>
      <w:r w:rsidR="008416B0" w:rsidRPr="009078C3">
        <w:rPr>
          <w:rFonts w:ascii="Times New Roman" w:eastAsia="Times New Roman" w:hAnsi="Times New Roman" w:cs="Times New Roman"/>
          <w:b/>
          <w:bCs/>
          <w:kern w:val="0"/>
          <w:sz w:val="28"/>
          <w:szCs w:val="24"/>
          <w:lang w:eastAsia="ro-RO"/>
          <w14:ligatures w14:val="none"/>
        </w:rPr>
        <w:t>Nicușo</w:t>
      </w:r>
      <w:r w:rsidR="008416B0">
        <w:rPr>
          <w:rFonts w:ascii="Times New Roman" w:eastAsia="Times New Roman" w:hAnsi="Times New Roman" w:cs="Times New Roman"/>
          <w:b/>
          <w:bCs/>
          <w:kern w:val="0"/>
          <w:sz w:val="28"/>
          <w:szCs w:val="24"/>
          <w:lang w:eastAsia="ro-RO"/>
          <w14:ligatures w14:val="none"/>
        </w:rPr>
        <w:t>r</w:t>
      </w:r>
      <w:r w:rsidR="008416B0" w:rsidRPr="008416B0">
        <w:rPr>
          <w:rFonts w:ascii="Times New Roman" w:eastAsia="Times New Roman" w:hAnsi="Times New Roman" w:cs="Times New Roman"/>
          <w:b/>
          <w:bCs/>
          <w:kern w:val="0"/>
          <w:sz w:val="28"/>
          <w:szCs w:val="24"/>
          <w:lang w:eastAsia="ro-RO"/>
          <w14:ligatures w14:val="none"/>
        </w:rPr>
        <w:t xml:space="preserve"> </w:t>
      </w:r>
      <w:r w:rsidR="008416B0" w:rsidRPr="009078C3">
        <w:rPr>
          <w:rFonts w:ascii="Times New Roman" w:eastAsia="Times New Roman" w:hAnsi="Times New Roman" w:cs="Times New Roman"/>
          <w:b/>
          <w:bCs/>
          <w:kern w:val="0"/>
          <w:sz w:val="28"/>
          <w:szCs w:val="24"/>
          <w:lang w:eastAsia="ro-RO"/>
          <w14:ligatures w14:val="none"/>
        </w:rPr>
        <w:t>HALICI</w:t>
      </w:r>
    </w:p>
    <w:p w14:paraId="0D378E0A" w14:textId="77777777" w:rsidR="00EB76A1" w:rsidRDefault="00EB76A1"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5743DDEE" w14:textId="77777777" w:rsidR="00695605" w:rsidRDefault="00695605" w:rsidP="00EB76A1">
      <w:pPr>
        <w:spacing w:after="0" w:line="240" w:lineRule="auto"/>
        <w:jc w:val="both"/>
        <w:rPr>
          <w:rFonts w:ascii="Times New Roman" w:eastAsia="Times New Roman" w:hAnsi="Times New Roman" w:cs="Times New Roman"/>
          <w:b/>
          <w:bCs/>
          <w:kern w:val="0"/>
          <w:sz w:val="28"/>
          <w:szCs w:val="24"/>
          <w:lang w:eastAsia="ro-RO"/>
          <w14:ligatures w14:val="none"/>
        </w:rPr>
      </w:pPr>
    </w:p>
    <w:p w14:paraId="37D50FCC" w14:textId="2C58AAAC" w:rsidR="00AD5257" w:rsidRPr="00904C2B" w:rsidRDefault="00EB76A1" w:rsidP="00904C2B">
      <w:pPr>
        <w:rPr>
          <w:rFonts w:ascii="Times New Roman" w:hAnsi="Times New Roman" w:cs="Times New Roman"/>
          <w:b/>
          <w:bCs/>
          <w:sz w:val="28"/>
          <w:szCs w:val="28"/>
          <w:lang w:eastAsia="ro-RO"/>
        </w:rPr>
      </w:pPr>
      <w:r w:rsidRPr="00904C2B">
        <w:rPr>
          <w:rFonts w:ascii="Times New Roman" w:hAnsi="Times New Roman" w:cs="Times New Roman"/>
          <w:b/>
          <w:bCs/>
          <w:sz w:val="28"/>
          <w:szCs w:val="28"/>
          <w:lang w:eastAsia="ro-RO"/>
        </w:rPr>
        <w:t xml:space="preserve">                                                                                           </w:t>
      </w:r>
      <w:r w:rsidR="00695605" w:rsidRPr="00904C2B">
        <w:rPr>
          <w:rFonts w:ascii="Times New Roman" w:hAnsi="Times New Roman" w:cs="Times New Roman"/>
          <w:b/>
          <w:bCs/>
          <w:sz w:val="28"/>
          <w:szCs w:val="28"/>
          <w:lang w:eastAsia="ro-RO"/>
        </w:rPr>
        <w:t>Contrasemnează</w:t>
      </w:r>
      <w:r w:rsidR="00630D32">
        <w:rPr>
          <w:rFonts w:ascii="Times New Roman" w:hAnsi="Times New Roman" w:cs="Times New Roman"/>
          <w:b/>
          <w:bCs/>
          <w:sz w:val="28"/>
          <w:szCs w:val="28"/>
          <w:lang w:eastAsia="ro-RO"/>
        </w:rPr>
        <w:t>,</w:t>
      </w:r>
      <w:r w:rsidRPr="00904C2B">
        <w:rPr>
          <w:rFonts w:ascii="Times New Roman" w:hAnsi="Times New Roman" w:cs="Times New Roman"/>
          <w:b/>
          <w:bCs/>
          <w:sz w:val="28"/>
          <w:szCs w:val="28"/>
          <w:lang w:eastAsia="ro-RO"/>
        </w:rPr>
        <w:tab/>
      </w:r>
      <w:r w:rsidRPr="00904C2B">
        <w:rPr>
          <w:rFonts w:ascii="Times New Roman" w:hAnsi="Times New Roman" w:cs="Times New Roman"/>
          <w:b/>
          <w:bCs/>
          <w:sz w:val="28"/>
          <w:szCs w:val="28"/>
          <w:lang w:eastAsia="ro-RO"/>
        </w:rPr>
        <w:tab/>
      </w:r>
      <w:r w:rsidRPr="00904C2B">
        <w:rPr>
          <w:rFonts w:ascii="Times New Roman" w:hAnsi="Times New Roman" w:cs="Times New Roman"/>
          <w:b/>
          <w:bCs/>
          <w:sz w:val="28"/>
          <w:szCs w:val="28"/>
          <w:lang w:eastAsia="ro-RO"/>
        </w:rPr>
        <w:tab/>
      </w:r>
      <w:r w:rsidRPr="00904C2B">
        <w:rPr>
          <w:rFonts w:ascii="Times New Roman" w:hAnsi="Times New Roman" w:cs="Times New Roman"/>
          <w:b/>
          <w:bCs/>
          <w:sz w:val="28"/>
          <w:szCs w:val="28"/>
          <w:lang w:eastAsia="ro-RO"/>
        </w:rPr>
        <w:tab/>
      </w:r>
      <w:r w:rsidRPr="00904C2B">
        <w:rPr>
          <w:rFonts w:ascii="Times New Roman" w:hAnsi="Times New Roman" w:cs="Times New Roman"/>
          <w:b/>
          <w:bCs/>
          <w:sz w:val="28"/>
          <w:szCs w:val="28"/>
          <w:lang w:eastAsia="ro-RO"/>
        </w:rPr>
        <w:tab/>
        <w:t xml:space="preserve">                              </w:t>
      </w:r>
      <w:r w:rsidR="00904C2B">
        <w:rPr>
          <w:rFonts w:ascii="Times New Roman" w:hAnsi="Times New Roman" w:cs="Times New Roman"/>
          <w:b/>
          <w:bCs/>
          <w:sz w:val="28"/>
          <w:szCs w:val="28"/>
          <w:lang w:eastAsia="ro-RO"/>
        </w:rPr>
        <w:t xml:space="preserve">    </w:t>
      </w:r>
      <w:r w:rsidR="00630D32">
        <w:rPr>
          <w:rFonts w:ascii="Times New Roman" w:hAnsi="Times New Roman" w:cs="Times New Roman"/>
          <w:b/>
          <w:bCs/>
          <w:sz w:val="28"/>
          <w:szCs w:val="28"/>
          <w:lang w:eastAsia="ro-RO"/>
        </w:rPr>
        <w:t xml:space="preserve">  </w:t>
      </w:r>
      <w:r w:rsidR="00904C2B">
        <w:rPr>
          <w:rFonts w:ascii="Times New Roman" w:hAnsi="Times New Roman" w:cs="Times New Roman"/>
          <w:b/>
          <w:bCs/>
          <w:sz w:val="28"/>
          <w:szCs w:val="28"/>
          <w:lang w:eastAsia="ro-RO"/>
        </w:rPr>
        <w:t xml:space="preserve">  </w:t>
      </w:r>
      <w:r w:rsidRPr="00904C2B">
        <w:rPr>
          <w:rFonts w:ascii="Times New Roman" w:hAnsi="Times New Roman" w:cs="Times New Roman"/>
          <w:b/>
          <w:bCs/>
          <w:sz w:val="28"/>
          <w:szCs w:val="28"/>
          <w:lang w:eastAsia="ro-RO"/>
        </w:rPr>
        <w:t>Secretar</w:t>
      </w:r>
      <w:r w:rsidR="00904C2B" w:rsidRPr="00904C2B">
        <w:rPr>
          <w:rFonts w:ascii="Times New Roman" w:hAnsi="Times New Roman" w:cs="Times New Roman"/>
          <w:b/>
          <w:bCs/>
          <w:sz w:val="28"/>
          <w:szCs w:val="28"/>
          <w:lang w:eastAsia="ro-RO"/>
        </w:rPr>
        <w:t xml:space="preserve"> </w:t>
      </w:r>
      <w:r w:rsidRPr="00904C2B">
        <w:rPr>
          <w:rFonts w:ascii="Times New Roman" w:hAnsi="Times New Roman" w:cs="Times New Roman"/>
          <w:b/>
          <w:bCs/>
          <w:sz w:val="28"/>
          <w:szCs w:val="28"/>
          <w:lang w:eastAsia="ro-RO"/>
        </w:rPr>
        <w:t xml:space="preserve">general al </w:t>
      </w:r>
      <w:proofErr w:type="spellStart"/>
      <w:r w:rsidRPr="00904C2B">
        <w:rPr>
          <w:rFonts w:ascii="Times New Roman" w:hAnsi="Times New Roman" w:cs="Times New Roman"/>
          <w:b/>
          <w:bCs/>
          <w:sz w:val="28"/>
          <w:szCs w:val="28"/>
          <w:lang w:eastAsia="ro-RO"/>
        </w:rPr>
        <w:t>judeţului</w:t>
      </w:r>
      <w:proofErr w:type="spellEnd"/>
      <w:r w:rsidRPr="00904C2B">
        <w:rPr>
          <w:rFonts w:ascii="Times New Roman" w:hAnsi="Times New Roman" w:cs="Times New Roman"/>
          <w:b/>
          <w:bCs/>
          <w:sz w:val="28"/>
          <w:szCs w:val="28"/>
          <w:lang w:eastAsia="ro-RO"/>
        </w:rPr>
        <w:t xml:space="preserve">                                                                                                         </w:t>
      </w:r>
      <w:r w:rsidRPr="00904C2B">
        <w:rPr>
          <w:rFonts w:ascii="Times New Roman" w:hAnsi="Times New Roman" w:cs="Times New Roman"/>
          <w:b/>
          <w:bCs/>
          <w:sz w:val="28"/>
          <w:szCs w:val="28"/>
          <w:lang w:eastAsia="ro-RO"/>
        </w:rPr>
        <w:tab/>
        <w:t xml:space="preserve">                                                                                 </w:t>
      </w:r>
      <w:r w:rsidR="00904C2B">
        <w:rPr>
          <w:rFonts w:ascii="Times New Roman" w:hAnsi="Times New Roman" w:cs="Times New Roman"/>
          <w:b/>
          <w:bCs/>
          <w:sz w:val="28"/>
          <w:szCs w:val="28"/>
          <w:lang w:eastAsia="ro-RO"/>
        </w:rPr>
        <w:t xml:space="preserve">  </w:t>
      </w:r>
      <w:r w:rsidRPr="00904C2B">
        <w:rPr>
          <w:rFonts w:ascii="Times New Roman" w:hAnsi="Times New Roman" w:cs="Times New Roman"/>
          <w:b/>
          <w:bCs/>
          <w:sz w:val="28"/>
          <w:szCs w:val="28"/>
          <w:lang w:eastAsia="ro-RO"/>
        </w:rPr>
        <w:t xml:space="preserve">Raluca Dan    </w:t>
      </w:r>
    </w:p>
    <w:p w14:paraId="11FB3F50" w14:textId="77777777" w:rsidR="001F2131" w:rsidRPr="00904C2B" w:rsidRDefault="001F2131" w:rsidP="00904C2B">
      <w:pPr>
        <w:rPr>
          <w:rFonts w:ascii="Times New Roman" w:hAnsi="Times New Roman" w:cs="Times New Roman"/>
          <w:b/>
          <w:bCs/>
          <w:sz w:val="28"/>
          <w:szCs w:val="28"/>
          <w:lang w:eastAsia="ro-RO"/>
        </w:rPr>
      </w:pPr>
    </w:p>
    <w:p w14:paraId="7C52E861" w14:textId="77777777" w:rsidR="001F2131" w:rsidRDefault="001F2131" w:rsidP="001F2131">
      <w:pPr>
        <w:spacing w:after="0" w:line="240" w:lineRule="auto"/>
        <w:jc w:val="both"/>
        <w:rPr>
          <w:rFonts w:ascii="Times New Roman" w:eastAsia="Times New Roman" w:hAnsi="Times New Roman" w:cs="Times New Roman"/>
          <w:b/>
          <w:bCs/>
          <w:kern w:val="0"/>
          <w:sz w:val="28"/>
          <w:szCs w:val="24"/>
          <w:lang w:eastAsia="ro-RO"/>
          <w14:ligatures w14:val="none"/>
        </w:rPr>
      </w:pPr>
    </w:p>
    <w:sectPr w:rsidR="001F2131" w:rsidSect="00296B2B">
      <w:footerReference w:type="default" r:id="rId8"/>
      <w:pgSz w:w="11906" w:h="16838"/>
      <w:pgMar w:top="540" w:right="1417" w:bottom="9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0EE8" w14:textId="77777777" w:rsidR="00A217B9" w:rsidRDefault="00A217B9" w:rsidP="00296B2B">
      <w:pPr>
        <w:spacing w:after="0" w:line="240" w:lineRule="auto"/>
      </w:pPr>
      <w:r>
        <w:separator/>
      </w:r>
    </w:p>
  </w:endnote>
  <w:endnote w:type="continuationSeparator" w:id="0">
    <w:p w14:paraId="12EBEFAF" w14:textId="77777777" w:rsidR="00A217B9" w:rsidRDefault="00A217B9" w:rsidP="00296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886681"/>
      <w:docPartObj>
        <w:docPartGallery w:val="Page Numbers (Bottom of Page)"/>
        <w:docPartUnique/>
      </w:docPartObj>
    </w:sdtPr>
    <w:sdtEndPr>
      <w:rPr>
        <w:noProof/>
      </w:rPr>
    </w:sdtEndPr>
    <w:sdtContent>
      <w:p w14:paraId="5314418E" w14:textId="6E7ECC0C" w:rsidR="00296B2B" w:rsidRDefault="00296B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381A3D" w14:textId="77777777" w:rsidR="00296B2B" w:rsidRDefault="00296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3164" w14:textId="77777777" w:rsidR="00A217B9" w:rsidRDefault="00A217B9" w:rsidP="00296B2B">
      <w:pPr>
        <w:spacing w:after="0" w:line="240" w:lineRule="auto"/>
      </w:pPr>
      <w:r>
        <w:separator/>
      </w:r>
    </w:p>
  </w:footnote>
  <w:footnote w:type="continuationSeparator" w:id="0">
    <w:p w14:paraId="7DC09E9D" w14:textId="77777777" w:rsidR="00A217B9" w:rsidRDefault="00A217B9" w:rsidP="00296B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35"/>
    <w:multiLevelType w:val="multilevel"/>
    <w:tmpl w:val="A94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B70A7"/>
    <w:multiLevelType w:val="multilevel"/>
    <w:tmpl w:val="312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46ADB"/>
    <w:multiLevelType w:val="hybridMultilevel"/>
    <w:tmpl w:val="2764AC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B3C35B0"/>
    <w:multiLevelType w:val="multilevel"/>
    <w:tmpl w:val="BA6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47559"/>
    <w:multiLevelType w:val="hybridMultilevel"/>
    <w:tmpl w:val="8CF8755A"/>
    <w:lvl w:ilvl="0" w:tplc="5226F77A">
      <w:start w:val="2"/>
      <w:numFmt w:val="bullet"/>
      <w:lvlText w:val="-"/>
      <w:lvlJc w:val="left"/>
      <w:pPr>
        <w:ind w:left="842" w:hanging="360"/>
      </w:pPr>
      <w:rPr>
        <w:rFonts w:ascii="Calibri" w:eastAsia="Calibri" w:hAnsi="Calibri" w:cs="Calibri"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5" w15:restartNumberingAfterBreak="0">
    <w:nsid w:val="61D43F23"/>
    <w:multiLevelType w:val="hybridMultilevel"/>
    <w:tmpl w:val="ED2443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2BC192B"/>
    <w:multiLevelType w:val="multilevel"/>
    <w:tmpl w:val="7FB8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595227">
    <w:abstractNumId w:val="3"/>
  </w:num>
  <w:num w:numId="2" w16cid:durableId="1322077196">
    <w:abstractNumId w:val="0"/>
  </w:num>
  <w:num w:numId="3" w16cid:durableId="827134095">
    <w:abstractNumId w:val="1"/>
  </w:num>
  <w:num w:numId="4" w16cid:durableId="1001395678">
    <w:abstractNumId w:val="2"/>
  </w:num>
  <w:num w:numId="5" w16cid:durableId="846869838">
    <w:abstractNumId w:val="6"/>
  </w:num>
  <w:num w:numId="6" w16cid:durableId="283656240">
    <w:abstractNumId w:val="4"/>
  </w:num>
  <w:num w:numId="7" w16cid:durableId="12988800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72"/>
    <w:rsid w:val="000028A8"/>
    <w:rsid w:val="0002778A"/>
    <w:rsid w:val="00031B73"/>
    <w:rsid w:val="00044563"/>
    <w:rsid w:val="00053E72"/>
    <w:rsid w:val="00055EAD"/>
    <w:rsid w:val="00060F07"/>
    <w:rsid w:val="000668B4"/>
    <w:rsid w:val="000735FC"/>
    <w:rsid w:val="000A57E9"/>
    <w:rsid w:val="000B11B3"/>
    <w:rsid w:val="000B500B"/>
    <w:rsid w:val="000C0A27"/>
    <w:rsid w:val="000C2053"/>
    <w:rsid w:val="000C4C66"/>
    <w:rsid w:val="000D1F46"/>
    <w:rsid w:val="000E664E"/>
    <w:rsid w:val="000F2A16"/>
    <w:rsid w:val="00116874"/>
    <w:rsid w:val="00126617"/>
    <w:rsid w:val="00136B19"/>
    <w:rsid w:val="00144B66"/>
    <w:rsid w:val="00162163"/>
    <w:rsid w:val="00163285"/>
    <w:rsid w:val="001706E5"/>
    <w:rsid w:val="00184638"/>
    <w:rsid w:val="00197DED"/>
    <w:rsid w:val="001C1D6C"/>
    <w:rsid w:val="001D5146"/>
    <w:rsid w:val="001E5106"/>
    <w:rsid w:val="001F2131"/>
    <w:rsid w:val="00203DB0"/>
    <w:rsid w:val="0022260E"/>
    <w:rsid w:val="00225CE7"/>
    <w:rsid w:val="0023593E"/>
    <w:rsid w:val="002367DA"/>
    <w:rsid w:val="0025272E"/>
    <w:rsid w:val="0029166B"/>
    <w:rsid w:val="00291A4E"/>
    <w:rsid w:val="002945D8"/>
    <w:rsid w:val="00296B2B"/>
    <w:rsid w:val="002979E4"/>
    <w:rsid w:val="002A6A90"/>
    <w:rsid w:val="002A74BC"/>
    <w:rsid w:val="002B7625"/>
    <w:rsid w:val="002C030E"/>
    <w:rsid w:val="002E6316"/>
    <w:rsid w:val="002F0087"/>
    <w:rsid w:val="00305567"/>
    <w:rsid w:val="00306AB5"/>
    <w:rsid w:val="00322866"/>
    <w:rsid w:val="00332169"/>
    <w:rsid w:val="00335257"/>
    <w:rsid w:val="00356AE9"/>
    <w:rsid w:val="00375C94"/>
    <w:rsid w:val="003857EB"/>
    <w:rsid w:val="00387B05"/>
    <w:rsid w:val="003B1764"/>
    <w:rsid w:val="003C5CE7"/>
    <w:rsid w:val="003D26C7"/>
    <w:rsid w:val="003E059B"/>
    <w:rsid w:val="004040FE"/>
    <w:rsid w:val="004053F1"/>
    <w:rsid w:val="00410CD8"/>
    <w:rsid w:val="00437C27"/>
    <w:rsid w:val="00455EFB"/>
    <w:rsid w:val="00457085"/>
    <w:rsid w:val="004611E0"/>
    <w:rsid w:val="00473D36"/>
    <w:rsid w:val="00484F12"/>
    <w:rsid w:val="00490169"/>
    <w:rsid w:val="00490CE4"/>
    <w:rsid w:val="00497456"/>
    <w:rsid w:val="004A17BF"/>
    <w:rsid w:val="004C6C02"/>
    <w:rsid w:val="004F5A09"/>
    <w:rsid w:val="00503DF1"/>
    <w:rsid w:val="00532DCB"/>
    <w:rsid w:val="005346FB"/>
    <w:rsid w:val="005578B2"/>
    <w:rsid w:val="005734CA"/>
    <w:rsid w:val="00587998"/>
    <w:rsid w:val="00597C33"/>
    <w:rsid w:val="00597CB0"/>
    <w:rsid w:val="005B1090"/>
    <w:rsid w:val="005B6B43"/>
    <w:rsid w:val="005D278D"/>
    <w:rsid w:val="005D542B"/>
    <w:rsid w:val="005E17D4"/>
    <w:rsid w:val="005E29CE"/>
    <w:rsid w:val="005E426B"/>
    <w:rsid w:val="005F381D"/>
    <w:rsid w:val="006151A9"/>
    <w:rsid w:val="006211E0"/>
    <w:rsid w:val="00630D32"/>
    <w:rsid w:val="00644F60"/>
    <w:rsid w:val="00670CFE"/>
    <w:rsid w:val="0068052E"/>
    <w:rsid w:val="00680778"/>
    <w:rsid w:val="00682BFF"/>
    <w:rsid w:val="00685F6D"/>
    <w:rsid w:val="00695605"/>
    <w:rsid w:val="006A4B44"/>
    <w:rsid w:val="006A50A7"/>
    <w:rsid w:val="006B79F2"/>
    <w:rsid w:val="006D6FF1"/>
    <w:rsid w:val="006D79F8"/>
    <w:rsid w:val="006F0FF0"/>
    <w:rsid w:val="0072724E"/>
    <w:rsid w:val="007276DC"/>
    <w:rsid w:val="00734104"/>
    <w:rsid w:val="00741730"/>
    <w:rsid w:val="007479C4"/>
    <w:rsid w:val="0079601F"/>
    <w:rsid w:val="007B46B2"/>
    <w:rsid w:val="007C6F38"/>
    <w:rsid w:val="007E2000"/>
    <w:rsid w:val="008208C4"/>
    <w:rsid w:val="008252CA"/>
    <w:rsid w:val="008255D3"/>
    <w:rsid w:val="008379FA"/>
    <w:rsid w:val="008416B0"/>
    <w:rsid w:val="008455D6"/>
    <w:rsid w:val="0086478F"/>
    <w:rsid w:val="00891A45"/>
    <w:rsid w:val="008B0046"/>
    <w:rsid w:val="008B5499"/>
    <w:rsid w:val="008C50FC"/>
    <w:rsid w:val="008E2781"/>
    <w:rsid w:val="008E4D43"/>
    <w:rsid w:val="00902D1E"/>
    <w:rsid w:val="00904C2B"/>
    <w:rsid w:val="009078C3"/>
    <w:rsid w:val="00932B39"/>
    <w:rsid w:val="009477CF"/>
    <w:rsid w:val="00954704"/>
    <w:rsid w:val="00955F00"/>
    <w:rsid w:val="009633A6"/>
    <w:rsid w:val="0097047E"/>
    <w:rsid w:val="00983BAD"/>
    <w:rsid w:val="009A0A81"/>
    <w:rsid w:val="009A0AAE"/>
    <w:rsid w:val="009A16E3"/>
    <w:rsid w:val="009A3599"/>
    <w:rsid w:val="009B2955"/>
    <w:rsid w:val="009B3CBA"/>
    <w:rsid w:val="009D541C"/>
    <w:rsid w:val="009F0B77"/>
    <w:rsid w:val="00A217B9"/>
    <w:rsid w:val="00A46E55"/>
    <w:rsid w:val="00AB3C0F"/>
    <w:rsid w:val="00AC61DD"/>
    <w:rsid w:val="00AD0DA6"/>
    <w:rsid w:val="00AD5257"/>
    <w:rsid w:val="00AF1D98"/>
    <w:rsid w:val="00AF4B73"/>
    <w:rsid w:val="00B34623"/>
    <w:rsid w:val="00B42DCF"/>
    <w:rsid w:val="00B5285C"/>
    <w:rsid w:val="00B571B4"/>
    <w:rsid w:val="00B607C3"/>
    <w:rsid w:val="00B73513"/>
    <w:rsid w:val="00B85F9C"/>
    <w:rsid w:val="00B95F34"/>
    <w:rsid w:val="00BB4571"/>
    <w:rsid w:val="00BC1A7A"/>
    <w:rsid w:val="00BD1354"/>
    <w:rsid w:val="00BD50A5"/>
    <w:rsid w:val="00BD5676"/>
    <w:rsid w:val="00BE0819"/>
    <w:rsid w:val="00BE2473"/>
    <w:rsid w:val="00C20A0C"/>
    <w:rsid w:val="00C2791D"/>
    <w:rsid w:val="00C30AD2"/>
    <w:rsid w:val="00C31ACB"/>
    <w:rsid w:val="00C9085F"/>
    <w:rsid w:val="00CB2AD2"/>
    <w:rsid w:val="00CB3ED2"/>
    <w:rsid w:val="00CB42E6"/>
    <w:rsid w:val="00CE29DA"/>
    <w:rsid w:val="00CF0E0B"/>
    <w:rsid w:val="00D258EB"/>
    <w:rsid w:val="00D33BFD"/>
    <w:rsid w:val="00D360C4"/>
    <w:rsid w:val="00D415E8"/>
    <w:rsid w:val="00D814B8"/>
    <w:rsid w:val="00D85C22"/>
    <w:rsid w:val="00D96C06"/>
    <w:rsid w:val="00DB2B0F"/>
    <w:rsid w:val="00DB7DA1"/>
    <w:rsid w:val="00DC345D"/>
    <w:rsid w:val="00DC653D"/>
    <w:rsid w:val="00DD2214"/>
    <w:rsid w:val="00DE1FE4"/>
    <w:rsid w:val="00DE7186"/>
    <w:rsid w:val="00DF43D4"/>
    <w:rsid w:val="00E01AAF"/>
    <w:rsid w:val="00E06BDB"/>
    <w:rsid w:val="00E21566"/>
    <w:rsid w:val="00E24EB4"/>
    <w:rsid w:val="00E27216"/>
    <w:rsid w:val="00E36A7E"/>
    <w:rsid w:val="00E43FB9"/>
    <w:rsid w:val="00E53D80"/>
    <w:rsid w:val="00E5478E"/>
    <w:rsid w:val="00E6069B"/>
    <w:rsid w:val="00E607AD"/>
    <w:rsid w:val="00E810AB"/>
    <w:rsid w:val="00E83587"/>
    <w:rsid w:val="00EA5D90"/>
    <w:rsid w:val="00EA6C31"/>
    <w:rsid w:val="00EB12A0"/>
    <w:rsid w:val="00EB76A1"/>
    <w:rsid w:val="00EB76C0"/>
    <w:rsid w:val="00EC46EF"/>
    <w:rsid w:val="00ED06A3"/>
    <w:rsid w:val="00EE2702"/>
    <w:rsid w:val="00EE7DB6"/>
    <w:rsid w:val="00F0445E"/>
    <w:rsid w:val="00F07E54"/>
    <w:rsid w:val="00F320A3"/>
    <w:rsid w:val="00F61785"/>
    <w:rsid w:val="00F67138"/>
    <w:rsid w:val="00F76582"/>
    <w:rsid w:val="00F77199"/>
    <w:rsid w:val="00F81BF9"/>
    <w:rsid w:val="00F95342"/>
    <w:rsid w:val="00FD270D"/>
    <w:rsid w:val="00FF23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B2BF"/>
  <w15:chartTrackingRefBased/>
  <w15:docId w15:val="{90E1711E-442B-4C9B-871E-8E8D8BC1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2E"/>
  </w:style>
  <w:style w:type="paragraph" w:styleId="Heading1">
    <w:name w:val="heading 1"/>
    <w:basedOn w:val="Normal"/>
    <w:next w:val="Normal"/>
    <w:link w:val="Heading1Char"/>
    <w:uiPriority w:val="9"/>
    <w:qFormat/>
    <w:rsid w:val="00053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3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3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3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3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3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3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3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3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3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3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E72"/>
    <w:rPr>
      <w:rFonts w:eastAsiaTheme="majorEastAsia" w:cstheme="majorBidi"/>
      <w:color w:val="272727" w:themeColor="text1" w:themeTint="D8"/>
    </w:rPr>
  </w:style>
  <w:style w:type="paragraph" w:styleId="Title">
    <w:name w:val="Title"/>
    <w:basedOn w:val="Normal"/>
    <w:next w:val="Normal"/>
    <w:link w:val="TitleChar"/>
    <w:uiPriority w:val="10"/>
    <w:qFormat/>
    <w:rsid w:val="000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E72"/>
    <w:pPr>
      <w:spacing w:before="160"/>
      <w:jc w:val="center"/>
    </w:pPr>
    <w:rPr>
      <w:i/>
      <w:iCs/>
      <w:color w:val="404040" w:themeColor="text1" w:themeTint="BF"/>
    </w:rPr>
  </w:style>
  <w:style w:type="character" w:customStyle="1" w:styleId="QuoteChar">
    <w:name w:val="Quote Char"/>
    <w:basedOn w:val="DefaultParagraphFont"/>
    <w:link w:val="Quote"/>
    <w:uiPriority w:val="29"/>
    <w:rsid w:val="00053E72"/>
    <w:rPr>
      <w:i/>
      <w:iCs/>
      <w:color w:val="404040" w:themeColor="text1" w:themeTint="BF"/>
    </w:rPr>
  </w:style>
  <w:style w:type="paragraph" w:styleId="ListParagraph">
    <w:name w:val="List Paragraph"/>
    <w:basedOn w:val="Normal"/>
    <w:uiPriority w:val="34"/>
    <w:qFormat/>
    <w:rsid w:val="00053E72"/>
    <w:pPr>
      <w:ind w:left="720"/>
      <w:contextualSpacing/>
    </w:pPr>
  </w:style>
  <w:style w:type="character" w:styleId="IntenseEmphasis">
    <w:name w:val="Intense Emphasis"/>
    <w:basedOn w:val="DefaultParagraphFont"/>
    <w:uiPriority w:val="21"/>
    <w:qFormat/>
    <w:rsid w:val="00053E72"/>
    <w:rPr>
      <w:i/>
      <w:iCs/>
      <w:color w:val="2F5496" w:themeColor="accent1" w:themeShade="BF"/>
    </w:rPr>
  </w:style>
  <w:style w:type="paragraph" w:styleId="IntenseQuote">
    <w:name w:val="Intense Quote"/>
    <w:basedOn w:val="Normal"/>
    <w:next w:val="Normal"/>
    <w:link w:val="IntenseQuoteChar"/>
    <w:uiPriority w:val="30"/>
    <w:qFormat/>
    <w:rsid w:val="00053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3E72"/>
    <w:rPr>
      <w:i/>
      <w:iCs/>
      <w:color w:val="2F5496" w:themeColor="accent1" w:themeShade="BF"/>
    </w:rPr>
  </w:style>
  <w:style w:type="character" w:styleId="IntenseReference">
    <w:name w:val="Intense Reference"/>
    <w:basedOn w:val="DefaultParagraphFont"/>
    <w:uiPriority w:val="32"/>
    <w:qFormat/>
    <w:rsid w:val="00053E72"/>
    <w:rPr>
      <w:b/>
      <w:bCs/>
      <w:smallCaps/>
      <w:color w:val="2F5496" w:themeColor="accent1" w:themeShade="BF"/>
      <w:spacing w:val="5"/>
    </w:rPr>
  </w:style>
  <w:style w:type="table" w:customStyle="1" w:styleId="Tabelgril1">
    <w:name w:val="Tabel grilă1"/>
    <w:basedOn w:val="TableNormal"/>
    <w:next w:val="TableGrid"/>
    <w:uiPriority w:val="59"/>
    <w:rsid w:val="004F5A09"/>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F5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6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B2B"/>
  </w:style>
  <w:style w:type="paragraph" w:styleId="Footer">
    <w:name w:val="footer"/>
    <w:basedOn w:val="Normal"/>
    <w:link w:val="FooterChar"/>
    <w:uiPriority w:val="99"/>
    <w:unhideWhenUsed/>
    <w:rsid w:val="00296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2131-1D1A-4678-A119-B039EADD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15</Pages>
  <Words>6176</Words>
  <Characters>35209</Characters>
  <Application>Microsoft Office Word</Application>
  <DocSecurity>0</DocSecurity>
  <Lines>293</Lines>
  <Paragraphs>82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Prepeliță Anca</dc:creator>
  <cp:keywords/>
  <dc:description/>
  <cp:lastModifiedBy>Rali Veronica</cp:lastModifiedBy>
  <cp:revision>31</cp:revision>
  <cp:lastPrinted>2026-09-29T12:00:00Z</cp:lastPrinted>
  <dcterms:created xsi:type="dcterms:W3CDTF">2026-09-25T10:44:00Z</dcterms:created>
  <dcterms:modified xsi:type="dcterms:W3CDTF">2026-10-06T10:59:00Z</dcterms:modified>
</cp:coreProperties>
</file>