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Borders>
          <w:top w:val="nil"/>
          <w:left w:val="nil"/>
          <w:bottom w:val="nil"/>
          <w:right w:val="nil"/>
          <w:insideH w:val="nil"/>
          <w:insideV w:val="nil"/>
        </w:tblBorders>
        <w:tblLayout w:type="fixed"/>
        <w:tblLook w:val="04A0" w:firstRow="1" w:lastRow="0" w:firstColumn="1" w:lastColumn="0" w:noHBand="0" w:noVBand="1"/>
      </w:tblPr>
      <w:tblGrid>
        <w:gridCol w:w="4303"/>
        <w:gridCol w:w="5052"/>
      </w:tblGrid>
      <w:tr w:rsidR="00D127DD" w:rsidRPr="00386E18" w14:paraId="5236E368" w14:textId="77777777">
        <w:tc>
          <w:tcPr>
            <w:tcW w:w="4303" w:type="dxa"/>
            <w:tcMar>
              <w:top w:w="0" w:type="dxa"/>
              <w:left w:w="0" w:type="dxa"/>
              <w:bottom w:w="0" w:type="dxa"/>
              <w:right w:w="0" w:type="dxa"/>
            </w:tcMar>
          </w:tcPr>
          <w:p w14:paraId="0939DCF1" w14:textId="77777777" w:rsidR="00D127DD" w:rsidRPr="00386E18" w:rsidRDefault="00754A9F">
            <w:pPr>
              <w:spacing w:after="0" w:line="240" w:lineRule="auto"/>
              <w:jc w:val="left"/>
              <w:rPr>
                <w:sz w:val="28"/>
                <w:szCs w:val="28"/>
              </w:rPr>
            </w:pPr>
            <w:r w:rsidRPr="00386E18">
              <w:rPr>
                <w:rFonts w:eastAsia="Times New Roman" w:cs="Times New Roman"/>
                <w:b/>
                <w:sz w:val="28"/>
                <w:szCs w:val="28"/>
              </w:rPr>
              <w:t>ROMÂNIA</w:t>
            </w:r>
            <w:r w:rsidRPr="00386E18">
              <w:rPr>
                <w:rFonts w:eastAsia="Times New Roman" w:cs="Times New Roman"/>
                <w:b/>
                <w:sz w:val="28"/>
                <w:szCs w:val="28"/>
              </w:rPr>
              <w:br/>
              <w:t>JUDEȚUL VRANCEA</w:t>
            </w:r>
            <w:r w:rsidRPr="00386E18">
              <w:rPr>
                <w:rFonts w:eastAsia="Times New Roman" w:cs="Times New Roman"/>
                <w:b/>
                <w:sz w:val="28"/>
                <w:szCs w:val="28"/>
              </w:rPr>
              <w:br/>
              <w:t>CONSILIUL JUDEȚEAN</w:t>
            </w:r>
          </w:p>
        </w:tc>
        <w:tc>
          <w:tcPr>
            <w:tcW w:w="5052" w:type="dxa"/>
            <w:tcMar>
              <w:top w:w="0" w:type="dxa"/>
              <w:left w:w="0" w:type="dxa"/>
              <w:bottom w:w="0" w:type="dxa"/>
              <w:right w:w="0" w:type="dxa"/>
            </w:tcMar>
          </w:tcPr>
          <w:p w14:paraId="0BDDACB2" w14:textId="183F7D70" w:rsidR="00D127DD" w:rsidRPr="00386E18" w:rsidRDefault="00754A9F">
            <w:pPr>
              <w:spacing w:after="0" w:line="240" w:lineRule="auto"/>
              <w:jc w:val="center"/>
              <w:rPr>
                <w:sz w:val="28"/>
                <w:szCs w:val="28"/>
              </w:rPr>
            </w:pPr>
            <w:r w:rsidRPr="00386E18">
              <w:rPr>
                <w:rFonts w:eastAsia="Times New Roman" w:cs="Times New Roman"/>
                <w:b/>
                <w:sz w:val="28"/>
                <w:szCs w:val="28"/>
              </w:rPr>
              <w:t>Anexa nr. 3b</w:t>
            </w:r>
            <w:r w:rsidRPr="00386E18">
              <w:rPr>
                <w:rFonts w:eastAsia="Times New Roman" w:cs="Times New Roman"/>
                <w:b/>
                <w:sz w:val="28"/>
                <w:szCs w:val="28"/>
              </w:rPr>
              <w:br/>
              <w:t xml:space="preserve">la Hotărârea nr. </w:t>
            </w:r>
            <w:r w:rsidR="009D0D7E">
              <w:rPr>
                <w:rFonts w:eastAsia="Times New Roman" w:cs="Times New Roman"/>
                <w:b/>
                <w:sz w:val="28"/>
                <w:szCs w:val="28"/>
              </w:rPr>
              <w:t>216 din 17.09.2026</w:t>
            </w:r>
          </w:p>
        </w:tc>
      </w:tr>
    </w:tbl>
    <w:p w14:paraId="1EBEF635" w14:textId="77777777" w:rsidR="00D127DD" w:rsidRDefault="00D127DD">
      <w:pPr>
        <w:spacing w:after="100" w:line="240" w:lineRule="auto"/>
      </w:pPr>
    </w:p>
    <w:tbl>
      <w:tblPr>
        <w:tblW w:w="93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74"/>
        <w:gridCol w:w="6081"/>
      </w:tblGrid>
      <w:tr w:rsidR="00D127DD" w:rsidRPr="00386E18" w14:paraId="4B221EE1" w14:textId="77777777">
        <w:tc>
          <w:tcPr>
            <w:tcW w:w="3274" w:type="dxa"/>
            <w:tcMar>
              <w:top w:w="240" w:type="dxa"/>
              <w:left w:w="110" w:type="dxa"/>
              <w:bottom w:w="240" w:type="dxa"/>
              <w:right w:w="110" w:type="dxa"/>
            </w:tcMar>
            <w:vAlign w:val="center"/>
          </w:tcPr>
          <w:p w14:paraId="1EF81889" w14:textId="77777777" w:rsidR="00D127DD" w:rsidRPr="00386E18" w:rsidRDefault="00754A9F">
            <w:pPr>
              <w:spacing w:after="0" w:line="240" w:lineRule="auto"/>
              <w:jc w:val="center"/>
              <w:rPr>
                <w:sz w:val="28"/>
                <w:szCs w:val="28"/>
              </w:rPr>
            </w:pPr>
            <w:r w:rsidRPr="00386E18">
              <w:rPr>
                <w:rFonts w:eastAsia="Times New Roman" w:cs="Times New Roman"/>
                <w:b/>
                <w:sz w:val="28"/>
                <w:szCs w:val="28"/>
              </w:rPr>
              <w:t>Beneficiar:</w:t>
            </w:r>
            <w:r w:rsidRPr="00386E18">
              <w:rPr>
                <w:rFonts w:eastAsia="Times New Roman" w:cs="Times New Roman"/>
                <w:b/>
                <w:sz w:val="28"/>
                <w:szCs w:val="28"/>
              </w:rPr>
              <w:br/>
              <w:t>Clubul Sportiv Județean</w:t>
            </w:r>
            <w:r w:rsidRPr="00386E18">
              <w:rPr>
                <w:rFonts w:eastAsia="Times New Roman" w:cs="Times New Roman"/>
                <w:b/>
                <w:sz w:val="28"/>
                <w:szCs w:val="28"/>
              </w:rPr>
              <w:br/>
              <w:t>Vrancea</w:t>
            </w:r>
            <w:r w:rsidRPr="00386E18">
              <w:rPr>
                <w:rFonts w:eastAsia="Times New Roman" w:cs="Times New Roman"/>
                <w:b/>
                <w:sz w:val="28"/>
                <w:szCs w:val="28"/>
              </w:rPr>
              <w:br/>
            </w:r>
            <w:r w:rsidRPr="00386E18">
              <w:rPr>
                <w:rFonts w:eastAsia="Times New Roman" w:cs="Times New Roman"/>
                <w:b/>
                <w:sz w:val="28"/>
                <w:szCs w:val="28"/>
              </w:rPr>
              <w:br/>
              <w:t>Nr. ........../................</w:t>
            </w:r>
          </w:p>
        </w:tc>
        <w:tc>
          <w:tcPr>
            <w:tcW w:w="6081" w:type="dxa"/>
            <w:tcMar>
              <w:top w:w="240" w:type="dxa"/>
              <w:left w:w="110" w:type="dxa"/>
              <w:bottom w:w="240" w:type="dxa"/>
              <w:right w:w="110" w:type="dxa"/>
            </w:tcMar>
            <w:vAlign w:val="center"/>
          </w:tcPr>
          <w:p w14:paraId="2ED20BF9" w14:textId="77777777" w:rsidR="00D127DD" w:rsidRPr="00386E18" w:rsidRDefault="00754A9F">
            <w:pPr>
              <w:spacing w:after="0" w:line="240" w:lineRule="auto"/>
              <w:jc w:val="center"/>
              <w:rPr>
                <w:sz w:val="28"/>
                <w:szCs w:val="28"/>
              </w:rPr>
            </w:pPr>
            <w:r w:rsidRPr="00386E18">
              <w:rPr>
                <w:rFonts w:eastAsia="Times New Roman" w:cs="Times New Roman"/>
                <w:b/>
                <w:sz w:val="28"/>
                <w:szCs w:val="28"/>
              </w:rPr>
              <w:t>Aprob,</w:t>
            </w:r>
            <w:r w:rsidRPr="00386E18">
              <w:rPr>
                <w:rFonts w:eastAsia="Times New Roman" w:cs="Times New Roman"/>
                <w:b/>
                <w:sz w:val="28"/>
                <w:szCs w:val="28"/>
              </w:rPr>
              <w:br/>
              <w:t>Nicușor HALICI</w:t>
            </w:r>
            <w:r w:rsidRPr="00386E18">
              <w:rPr>
                <w:rFonts w:eastAsia="Times New Roman" w:cs="Times New Roman"/>
                <w:b/>
                <w:sz w:val="28"/>
                <w:szCs w:val="28"/>
              </w:rPr>
              <w:br/>
              <w:t>Președintele Consiliului Județean Vrancea</w:t>
            </w:r>
            <w:r w:rsidRPr="00386E18">
              <w:rPr>
                <w:rFonts w:eastAsia="Times New Roman" w:cs="Times New Roman"/>
                <w:b/>
                <w:sz w:val="28"/>
                <w:szCs w:val="28"/>
              </w:rPr>
              <w:br/>
              <w:t>........................................</w:t>
            </w:r>
            <w:r w:rsidRPr="00386E18">
              <w:rPr>
                <w:rFonts w:eastAsia="Times New Roman" w:cs="Times New Roman"/>
                <w:b/>
                <w:sz w:val="28"/>
                <w:szCs w:val="28"/>
              </w:rPr>
              <w:br/>
              <w:t>L.S.</w:t>
            </w:r>
          </w:p>
        </w:tc>
      </w:tr>
    </w:tbl>
    <w:p w14:paraId="77078C41" w14:textId="77777777" w:rsidR="00D127DD" w:rsidRDefault="00D127DD">
      <w:pPr>
        <w:spacing w:after="0" w:line="240" w:lineRule="auto"/>
      </w:pPr>
    </w:p>
    <w:p w14:paraId="2CD49A1B" w14:textId="77777777" w:rsidR="00DD70F3" w:rsidRPr="00386E18" w:rsidRDefault="00C56FE8">
      <w:pPr>
        <w:pStyle w:val="Titlu"/>
        <w:spacing w:after="280"/>
        <w:rPr>
          <w:rFonts w:ascii="Times New Roman" w:hAnsi="Times New Roman" w:cs="Times New Roman"/>
          <w:szCs w:val="28"/>
        </w:rPr>
      </w:pPr>
      <w:r w:rsidRPr="00386E18">
        <w:rPr>
          <w:rFonts w:ascii="Times New Roman" w:eastAsia="Times New Roman" w:hAnsi="Times New Roman" w:cs="Times New Roman"/>
          <w:szCs w:val="28"/>
        </w:rPr>
        <w:t>TEMĂ DE PROIECTARE</w:t>
      </w:r>
    </w:p>
    <w:p w14:paraId="7CB59D36" w14:textId="77777777" w:rsidR="00DD70F3" w:rsidRPr="00600089" w:rsidRDefault="00C56FE8">
      <w:pPr>
        <w:pStyle w:val="Titlu1"/>
        <w:rPr>
          <w:rFonts w:ascii="Times New Roman" w:hAnsi="Times New Roman" w:cs="Times New Roman"/>
          <w:sz w:val="28"/>
        </w:rPr>
      </w:pPr>
      <w:r w:rsidRPr="00600089">
        <w:rPr>
          <w:rFonts w:ascii="Times New Roman" w:hAnsi="Times New Roman" w:cs="Times New Roman"/>
          <w:sz w:val="28"/>
        </w:rPr>
        <w:t>1. Informații generale</w:t>
      </w:r>
    </w:p>
    <w:p w14:paraId="5E5D2311"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1.1. Denumirea obiectivului de investiții</w:t>
      </w:r>
    </w:p>
    <w:p w14:paraId="36172628" w14:textId="77777777" w:rsidR="00DD70F3" w:rsidRPr="00600089" w:rsidRDefault="00C56FE8">
      <w:pPr>
        <w:ind w:firstLine="0"/>
        <w:jc w:val="left"/>
        <w:rPr>
          <w:rFonts w:cs="Times New Roman"/>
          <w:sz w:val="28"/>
          <w:szCs w:val="28"/>
        </w:rPr>
      </w:pPr>
      <w:r>
        <w:rPr>
          <w:rFonts w:eastAsia="Times New Roman" w:cs="Times New Roman"/>
          <w:sz w:val="28"/>
          <w:szCs w:val="28"/>
        </w:rPr>
        <w:t>„Puț forat pentru irigarea terenurilor naturale”</w:t>
      </w:r>
    </w:p>
    <w:p w14:paraId="311FA459"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1.2. Ordonator principal de credite/investitor</w:t>
      </w:r>
    </w:p>
    <w:p w14:paraId="25F0BFAD" w14:textId="77777777" w:rsidR="00DD70F3" w:rsidRPr="00600089" w:rsidRDefault="00C56FE8">
      <w:pPr>
        <w:ind w:firstLine="0"/>
        <w:rPr>
          <w:rFonts w:cs="Times New Roman"/>
          <w:sz w:val="28"/>
          <w:szCs w:val="28"/>
        </w:rPr>
      </w:pPr>
      <w:r w:rsidRPr="00600089">
        <w:rPr>
          <w:rFonts w:eastAsia="Times New Roman" w:cs="Times New Roman"/>
          <w:sz w:val="28"/>
          <w:szCs w:val="28"/>
        </w:rPr>
        <w:t>Ordonator principal de credite: Unitatea Administrativ-Teritorială Județul Vrancea. Investitor: Clubul Sportiv Județean Vrancea, instituție publică de interes județean, aflată în subordinea Consiliului Județean Vrancea.</w:t>
      </w:r>
    </w:p>
    <w:p w14:paraId="1FF6256B"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1.3. Ordonator de credite (secundar, terțiar)</w:t>
      </w:r>
    </w:p>
    <w:p w14:paraId="41063DFB" w14:textId="77777777" w:rsidR="00DD70F3" w:rsidRPr="00600089" w:rsidRDefault="00C56FE8">
      <w:pPr>
        <w:ind w:firstLine="0"/>
        <w:rPr>
          <w:rFonts w:cs="Times New Roman"/>
          <w:sz w:val="28"/>
          <w:szCs w:val="28"/>
        </w:rPr>
      </w:pPr>
      <w:r w:rsidRPr="00600089">
        <w:rPr>
          <w:rFonts w:eastAsia="Times New Roman" w:cs="Times New Roman"/>
          <w:sz w:val="28"/>
          <w:szCs w:val="28"/>
        </w:rPr>
        <w:t>Clubul Sportiv Județean Vrancea, prin director, în calitatea stabilită prin actele de organizare și prin bugetul aprobat.</w:t>
      </w:r>
    </w:p>
    <w:p w14:paraId="2784A44C"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1.4. Beneficiarul investiției</w:t>
      </w:r>
    </w:p>
    <w:p w14:paraId="269FB07B" w14:textId="77777777" w:rsidR="00DD70F3" w:rsidRPr="00600089" w:rsidRDefault="00C56FE8">
      <w:pPr>
        <w:ind w:firstLine="0"/>
        <w:jc w:val="left"/>
        <w:rPr>
          <w:rFonts w:cs="Times New Roman"/>
          <w:sz w:val="28"/>
          <w:szCs w:val="28"/>
        </w:rPr>
      </w:pPr>
      <w:r w:rsidRPr="00600089">
        <w:rPr>
          <w:rFonts w:eastAsia="Times New Roman" w:cs="Times New Roman"/>
          <w:sz w:val="28"/>
          <w:szCs w:val="28"/>
        </w:rPr>
        <w:t>Clubul Sportiv Județean Vrancea</w:t>
      </w:r>
    </w:p>
    <w:p w14:paraId="5742335A"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1.5. Elaboratorul temei de proiectare</w:t>
      </w:r>
    </w:p>
    <w:p w14:paraId="21B8E747" w14:textId="35E7EBC9" w:rsidR="00DD70F3" w:rsidRPr="00600089" w:rsidRDefault="00C56FE8">
      <w:pPr>
        <w:ind w:firstLine="0"/>
        <w:rPr>
          <w:rFonts w:cs="Times New Roman"/>
          <w:sz w:val="28"/>
          <w:szCs w:val="28"/>
        </w:rPr>
      </w:pPr>
      <w:r w:rsidRPr="00600089">
        <w:rPr>
          <w:rFonts w:eastAsia="Times New Roman" w:cs="Times New Roman"/>
          <w:sz w:val="28"/>
          <w:szCs w:val="28"/>
        </w:rPr>
        <w:t xml:space="preserve">Clubul Sportiv Județean Vrancea, în calitate de beneficiar și investitor. </w:t>
      </w:r>
    </w:p>
    <w:p w14:paraId="4D8D51A1" w14:textId="77777777" w:rsidR="00DD70F3" w:rsidRPr="00600089" w:rsidRDefault="00C56FE8">
      <w:pPr>
        <w:pStyle w:val="Titlu1"/>
        <w:rPr>
          <w:rFonts w:ascii="Times New Roman" w:hAnsi="Times New Roman" w:cs="Times New Roman"/>
          <w:sz w:val="28"/>
        </w:rPr>
      </w:pPr>
      <w:r w:rsidRPr="00600089">
        <w:rPr>
          <w:rFonts w:ascii="Times New Roman" w:hAnsi="Times New Roman" w:cs="Times New Roman"/>
          <w:sz w:val="28"/>
        </w:rPr>
        <w:t>2. Date de identificare a obiectivului de investiții</w:t>
      </w:r>
    </w:p>
    <w:p w14:paraId="4181683A"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2.1. Informații privind regimul juridic, economic și tehnic al terenului și/sau al construcției existente, documentație cadastrală</w:t>
      </w:r>
    </w:p>
    <w:p w14:paraId="1C8851A3"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Regimul juridic</w:t>
      </w:r>
    </w:p>
    <w:p w14:paraId="34B0A884" w14:textId="77777777" w:rsidR="00DD70F3" w:rsidRPr="00600089" w:rsidRDefault="00C56FE8">
      <w:pPr>
        <w:rPr>
          <w:rFonts w:cs="Times New Roman"/>
          <w:sz w:val="28"/>
          <w:szCs w:val="28"/>
        </w:rPr>
      </w:pPr>
      <w:r>
        <w:rPr>
          <w:rFonts w:eastAsia="Times New Roman" w:cs="Times New Roman"/>
          <w:sz w:val="28"/>
          <w:szCs w:val="28"/>
        </w:rPr>
        <w:t xml:space="preserve">Imobilul Complex sportiv - Stadionul „Milcov”, situat în municipiul Focșani, str. Aleea Stadionului nr. 2, aparține domeniului public al Județului Vrancea și este dat în administrarea Clubului Sportiv Județean Vrancea prin H.C.J. Vrancea nr. 80/06.05.2026 și Protocolul din 25.06.2026. Imobilul este identificat prin CF nr. </w:t>
      </w:r>
      <w:r>
        <w:rPr>
          <w:rFonts w:eastAsia="Times New Roman" w:cs="Times New Roman"/>
          <w:sz w:val="28"/>
          <w:szCs w:val="28"/>
        </w:rPr>
        <w:lastRenderedPageBreak/>
        <w:t>69345 Focșani și CF nr. 54477 Focșani. Poziția puțului va fi raportată la extrase actualizate și la dovada dreptului de administrare.</w:t>
      </w:r>
    </w:p>
    <w:p w14:paraId="783DA2AC" w14:textId="77777777" w:rsidR="00DD70F3" w:rsidRPr="00600089" w:rsidRDefault="00C56FE8">
      <w:pPr>
        <w:rPr>
          <w:rFonts w:cs="Times New Roman"/>
          <w:sz w:val="28"/>
          <w:szCs w:val="28"/>
        </w:rPr>
      </w:pPr>
      <w:r w:rsidRPr="00600089">
        <w:rPr>
          <w:rFonts w:eastAsia="Times New Roman" w:cs="Times New Roman"/>
          <w:sz w:val="28"/>
          <w:szCs w:val="28"/>
        </w:rPr>
        <w:t>Investiția se realizează numai după acordul expres al Consiliului Județean Vrancea. Puțul și lucrările rezultate rămân în proprietatea Județului Vrancea.</w:t>
      </w:r>
    </w:p>
    <w:p w14:paraId="6F968EB4"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Regimul economic</w:t>
      </w:r>
    </w:p>
    <w:p w14:paraId="7DED70B8" w14:textId="77777777" w:rsidR="00DD70F3" w:rsidRPr="00600089" w:rsidRDefault="00C56FE8">
      <w:pPr>
        <w:rPr>
          <w:rFonts w:cs="Times New Roman"/>
          <w:sz w:val="28"/>
          <w:szCs w:val="28"/>
        </w:rPr>
      </w:pPr>
      <w:r>
        <w:rPr>
          <w:rFonts w:eastAsia="Times New Roman" w:cs="Times New Roman"/>
          <w:sz w:val="28"/>
          <w:szCs w:val="28"/>
        </w:rPr>
        <w:t>Valoarea preliminară aprobată pentru obiectiv este de 70.000 lei, inclusiv TVA. Studiul de fezabilitate va fundamenta cheltuielile necesare, valoarea C+M și componentele ansamblului funcțional care va fi supus recepției.</w:t>
      </w:r>
    </w:p>
    <w:p w14:paraId="190A4140"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Regimul tehnic</w:t>
      </w:r>
    </w:p>
    <w:p w14:paraId="3975F836" w14:textId="77777777" w:rsidR="00DD70F3" w:rsidRPr="00600089" w:rsidRDefault="00C56FE8">
      <w:pPr>
        <w:rPr>
          <w:rFonts w:cs="Times New Roman"/>
          <w:sz w:val="28"/>
          <w:szCs w:val="28"/>
        </w:rPr>
      </w:pPr>
      <w:r w:rsidRPr="00600089">
        <w:rPr>
          <w:rFonts w:eastAsia="Times New Roman" w:cs="Times New Roman"/>
          <w:sz w:val="28"/>
          <w:szCs w:val="28"/>
        </w:rPr>
        <w:t>Nu sunt stabilite poziția, adâncimea, diametrele, debitul și calitatea apei. Proiectarea va avea la bază studiul hidrogeologic, ridicarea topografică, documentațiile de gospodărire a apelor, datele din foraj, testele și analizele.</w:t>
      </w:r>
    </w:p>
    <w:p w14:paraId="7DBFFFC9"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2.2. Particularități ale amplasamentului/amplasamentelor propus/propuse pentru realizarea obiectivului de investiții, după caz:</w:t>
      </w:r>
    </w:p>
    <w:p w14:paraId="49C4CFDC"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a) Descrierea succintă a amplasamentului/amplasamentelor propus/propuse (localizare, suprafața terenului, dimensiuni în plan)</w:t>
      </w:r>
    </w:p>
    <w:p w14:paraId="1E66FEEB" w14:textId="77777777" w:rsidR="00DD70F3" w:rsidRPr="00600089" w:rsidRDefault="00C56FE8">
      <w:pPr>
        <w:rPr>
          <w:rFonts w:cs="Times New Roman"/>
          <w:sz w:val="28"/>
          <w:szCs w:val="28"/>
        </w:rPr>
      </w:pPr>
      <w:r>
        <w:rPr>
          <w:rFonts w:eastAsia="Times New Roman" w:cs="Times New Roman"/>
          <w:sz w:val="28"/>
          <w:szCs w:val="28"/>
        </w:rPr>
        <w:t>Amplasamentul este în cadrul imobilului Complex sportiv - Stadionul „Milcov”. Zona finală va fi selectată prin studiu hidrogeologic, ridicare topografică și analiza cadastrală și va fi marcată prin coordonate în sistemul național de referință.</w:t>
      </w:r>
    </w:p>
    <w:p w14:paraId="704E4899"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b) Relațiile cu zone învecinate, accesuri existente și/sau căi de acces posibile</w:t>
      </w:r>
    </w:p>
    <w:p w14:paraId="0643FD83" w14:textId="77777777" w:rsidR="00DD70F3" w:rsidRPr="00600089" w:rsidRDefault="00C56FE8">
      <w:pPr>
        <w:rPr>
          <w:rFonts w:cs="Times New Roman"/>
          <w:sz w:val="28"/>
          <w:szCs w:val="28"/>
        </w:rPr>
      </w:pPr>
      <w:r w:rsidRPr="00600089">
        <w:rPr>
          <w:rFonts w:eastAsia="Times New Roman" w:cs="Times New Roman"/>
          <w:sz w:val="28"/>
          <w:szCs w:val="28"/>
        </w:rPr>
        <w:t>Se va asigura accesul instalației de foraj, al autocisternelor și al utilajelor fără blocarea circulațiilor. Vor fi protejate terenurile sportive și proprietățile învecinate și vor fi respectate distanțele impuse de autorități.</w:t>
      </w:r>
    </w:p>
    <w:p w14:paraId="79613BAA"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c) Surse de poluare existente în zonă</w:t>
      </w:r>
    </w:p>
    <w:p w14:paraId="223AE7FD" w14:textId="77777777" w:rsidR="00DD70F3" w:rsidRPr="00600089" w:rsidRDefault="00C56FE8">
      <w:pPr>
        <w:rPr>
          <w:rFonts w:cs="Times New Roman"/>
          <w:sz w:val="28"/>
          <w:szCs w:val="28"/>
        </w:rPr>
      </w:pPr>
      <w:r w:rsidRPr="00600089">
        <w:rPr>
          <w:rFonts w:eastAsia="Times New Roman" w:cs="Times New Roman"/>
          <w:sz w:val="28"/>
          <w:szCs w:val="28"/>
        </w:rPr>
        <w:t>Studiul va inventaria toate sursele potențiale de contaminare, canalizările, depozitările și conductele. Amplasarea și construcția vor preveni contaminarea captării și comunicarea între acvifere.</w:t>
      </w:r>
    </w:p>
    <w:p w14:paraId="48E298DF"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d) Particularități de relief</w:t>
      </w:r>
    </w:p>
    <w:p w14:paraId="380F7330" w14:textId="77777777" w:rsidR="00DD70F3" w:rsidRPr="00600089" w:rsidRDefault="00C56FE8">
      <w:pPr>
        <w:rPr>
          <w:rFonts w:cs="Times New Roman"/>
          <w:sz w:val="28"/>
          <w:szCs w:val="28"/>
        </w:rPr>
      </w:pPr>
      <w:r w:rsidRPr="00600089">
        <w:rPr>
          <w:rFonts w:eastAsia="Times New Roman" w:cs="Times New Roman"/>
          <w:sz w:val="28"/>
          <w:szCs w:val="28"/>
        </w:rPr>
        <w:t>Topografia va evidenția cotele și direcțiile de scurgere. Capul puțului va fi protejat împotriva băltirii și a pătrunderii apelor de suprafață.</w:t>
      </w:r>
    </w:p>
    <w:p w14:paraId="43C2B98D"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e) Nivel de echipare tehnico-edilitară al zonei și posibilități de asigurare a utilităților</w:t>
      </w:r>
    </w:p>
    <w:p w14:paraId="20552A25" w14:textId="77777777" w:rsidR="00DD70F3" w:rsidRPr="00600089" w:rsidRDefault="00C56FE8">
      <w:pPr>
        <w:rPr>
          <w:rFonts w:cs="Times New Roman"/>
          <w:sz w:val="28"/>
          <w:szCs w:val="28"/>
        </w:rPr>
      </w:pPr>
      <w:r w:rsidRPr="00600089">
        <w:rPr>
          <w:rFonts w:eastAsia="Times New Roman" w:cs="Times New Roman"/>
          <w:sz w:val="28"/>
          <w:szCs w:val="28"/>
        </w:rPr>
        <w:t>Se vor verifica alimentarea temporară necesară forajului și probelor, evacuarea controlată a apei de pompare și relația cu instalația de irigare. Echiparea permanentă se include numai în limitele aprobate prin SF.</w:t>
      </w:r>
    </w:p>
    <w:p w14:paraId="7E3E91B3"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lastRenderedPageBreak/>
        <w:t>f) Existența unor eventuale rețele edilitare în amplasament care ar necesita relocare/protejare, în măsura în care pot fi identificate</w:t>
      </w:r>
    </w:p>
    <w:p w14:paraId="41686C13" w14:textId="77777777" w:rsidR="00DD70F3" w:rsidRPr="00600089" w:rsidRDefault="00C56FE8">
      <w:pPr>
        <w:rPr>
          <w:rFonts w:cs="Times New Roman"/>
          <w:sz w:val="28"/>
          <w:szCs w:val="28"/>
        </w:rPr>
      </w:pPr>
      <w:r w:rsidRPr="00600089">
        <w:rPr>
          <w:rFonts w:eastAsia="Times New Roman" w:cs="Times New Roman"/>
          <w:sz w:val="28"/>
          <w:szCs w:val="28"/>
        </w:rPr>
        <w:t>Proiectantul va solicita planurile și avizele de amplasament și va verifica pozițiile în teren. Se va prefera relocarea puțului față de afectarea rețelelor, dacă studiul hidrogeologic permite.</w:t>
      </w:r>
    </w:p>
    <w:p w14:paraId="5E06EC0B"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g) Posibile obligații de servitute</w:t>
      </w:r>
    </w:p>
    <w:p w14:paraId="4A9A455A" w14:textId="77777777" w:rsidR="00DD70F3" w:rsidRPr="00600089" w:rsidRDefault="00C56FE8">
      <w:pPr>
        <w:rPr>
          <w:rFonts w:cs="Times New Roman"/>
          <w:sz w:val="28"/>
          <w:szCs w:val="28"/>
        </w:rPr>
      </w:pPr>
      <w:r w:rsidRPr="00600089">
        <w:rPr>
          <w:rFonts w:eastAsia="Times New Roman" w:cs="Times New Roman"/>
          <w:sz w:val="28"/>
          <w:szCs w:val="28"/>
        </w:rPr>
        <w:t>Vor fi verificate sarcinile cadastrale, servituțile operatorilor și accesul necesar exploatării și mentenanței.</w:t>
      </w:r>
    </w:p>
    <w:p w14:paraId="1B6361FE"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h) Condiționări constructive determinate de starea tehnică și de sistemul constructiv al unor construcții existente în amplasament, asupra cărora se vor face lucrări de intervenții, după caz</w:t>
      </w:r>
    </w:p>
    <w:p w14:paraId="4EB30E03" w14:textId="77777777" w:rsidR="00DD70F3" w:rsidRPr="00600089" w:rsidRDefault="00C56FE8">
      <w:pPr>
        <w:rPr>
          <w:rFonts w:cs="Times New Roman"/>
          <w:sz w:val="28"/>
          <w:szCs w:val="28"/>
        </w:rPr>
      </w:pPr>
      <w:r w:rsidRPr="00600089">
        <w:rPr>
          <w:rFonts w:eastAsia="Times New Roman" w:cs="Times New Roman"/>
          <w:sz w:val="28"/>
          <w:szCs w:val="28"/>
        </w:rPr>
        <w:t>Se vor evita fundațiile, drenajele, irigațiile, cablurile și amenajările existente. Organizarea șantierului va controla noroiul de foraj, apa evacuată și traficul utilajelor.</w:t>
      </w:r>
    </w:p>
    <w:p w14:paraId="462D6088"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i) Reglementări urbanistice aplicabile zonei conform documentațiilor de urbanism aprobate – plan urbanistic general/plan urbanistic zonal și regulamentul local de urbanism aferent</w:t>
      </w:r>
    </w:p>
    <w:p w14:paraId="55DD1A45" w14:textId="77777777" w:rsidR="00DD70F3" w:rsidRPr="00600089" w:rsidRDefault="00C56FE8">
      <w:pPr>
        <w:rPr>
          <w:rFonts w:cs="Times New Roman"/>
          <w:sz w:val="28"/>
          <w:szCs w:val="28"/>
        </w:rPr>
      </w:pPr>
      <w:r w:rsidRPr="00600089">
        <w:rPr>
          <w:rFonts w:eastAsia="Times New Roman" w:cs="Times New Roman"/>
          <w:sz w:val="28"/>
          <w:szCs w:val="28"/>
        </w:rPr>
        <w:t>Se va obține un certificat de urbanism nou și se vor respecta toate condițiile urbanistice și de autorizare aplicabile captării.</w:t>
      </w:r>
    </w:p>
    <w:p w14:paraId="1E45B33E"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j) Existența de monumente istorice/de arhitectură sau situri arheologice pe amplasament sau în zona imediat învecinată; existența condiționărilor specifice în cazul existenței unor zone protejate sau de protecție</w:t>
      </w:r>
    </w:p>
    <w:p w14:paraId="72FA13C2" w14:textId="77777777" w:rsidR="00DD70F3" w:rsidRPr="00600089" w:rsidRDefault="00C56FE8">
      <w:pPr>
        <w:rPr>
          <w:rFonts w:cs="Times New Roman"/>
          <w:sz w:val="28"/>
          <w:szCs w:val="28"/>
        </w:rPr>
      </w:pPr>
      <w:r w:rsidRPr="00600089">
        <w:rPr>
          <w:rFonts w:eastAsia="Times New Roman" w:cs="Times New Roman"/>
          <w:sz w:val="28"/>
          <w:szCs w:val="28"/>
        </w:rPr>
        <w:t>Situația va fi confirmată prin certificatul de urbanism și avize. Orice condiționare de patrimoniu sau arheologie va fi integrată în proiect și execuție.</w:t>
      </w:r>
    </w:p>
    <w:p w14:paraId="7ED4E931"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2.3. Descrierea succintă a obiectivului de investiții propus din punct de vedere tehnic și funcțional:</w:t>
      </w:r>
    </w:p>
    <w:p w14:paraId="4902F669"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a) Destinație și funcțiuni</w:t>
      </w:r>
    </w:p>
    <w:p w14:paraId="11B3EC7E" w14:textId="77777777" w:rsidR="00DD70F3" w:rsidRPr="00600089" w:rsidRDefault="00C56FE8">
      <w:pPr>
        <w:rPr>
          <w:rFonts w:cs="Times New Roman"/>
          <w:sz w:val="28"/>
          <w:szCs w:val="28"/>
        </w:rPr>
      </w:pPr>
      <w:r>
        <w:rPr>
          <w:rFonts w:eastAsia="Times New Roman" w:cs="Times New Roman"/>
          <w:sz w:val="28"/>
          <w:szCs w:val="28"/>
        </w:rPr>
        <w:t>Obiectivul constă în realizarea unei captări de apă subterană destinate irigării terenurilor naturale. Apa nu va fi utilizată pentru consum uman, iar exploatarea se va face numai în condițiile actelor de reglementare.</w:t>
      </w:r>
    </w:p>
    <w:p w14:paraId="3E846927"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b) Caracteristici, parametri și date tehnice specifice, preconizate</w:t>
      </w:r>
    </w:p>
    <w:p w14:paraId="78C2CCAA" w14:textId="77777777" w:rsidR="00DD70F3" w:rsidRPr="00600089" w:rsidRDefault="00C56FE8">
      <w:pPr>
        <w:rPr>
          <w:rFonts w:cs="Times New Roman"/>
          <w:sz w:val="28"/>
          <w:szCs w:val="28"/>
        </w:rPr>
      </w:pPr>
      <w:r>
        <w:rPr>
          <w:rFonts w:eastAsia="Times New Roman" w:cs="Times New Roman"/>
          <w:sz w:val="28"/>
          <w:szCs w:val="28"/>
        </w:rPr>
        <w:t>SF va fundamenta necesitatea și amplasamentul, va analiza scenariile/opțiunile tehnico-economice și va defini un obiectiv funcțional și recepționabil. Nu se vor introduce în tema de proiectare valori prestabilite pentru adâncime, diametru sau debit care nu sunt susținute de studiul hidrogeologic.</w:t>
      </w:r>
    </w:p>
    <w:p w14:paraId="64328B3E"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studiu hidrogeologic realizat de entitate atestată, cu analiza datelor existente, a corpului de apă și a captărilor din zonă;</w:t>
      </w:r>
    </w:p>
    <w:p w14:paraId="0214C289"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lastRenderedPageBreak/>
        <w:t>ridicare topografică vizată și suprapunere cadastrală, inventarierea rețelelor și a surselor de poluare;</w:t>
      </w:r>
    </w:p>
    <w:p w14:paraId="7177C2A8"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documentație pentru avizul de gospodărire a apelor și pentru procedura de mediu înaintea execuției;</w:t>
      </w:r>
    </w:p>
    <w:p w14:paraId="1A738C6A"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proiectarea tehnologiei de foraj, a diametrelor, tubării, filtrelor, materialului filtrant și etanșărilor în funcție de formațiunile întâlnite;</w:t>
      </w:r>
    </w:p>
    <w:p w14:paraId="5DDE7FC5"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jurnal litologic și tehnic, prelevări și investigații în timpul execuției, inclusiv investigații geofizice dacă sunt justificate;</w:t>
      </w:r>
    </w:p>
    <w:p w14:paraId="3BD88A6C"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dezvoltare și deznisipare, pompare în trepte și pompare de durată, cu măsurarea debitului și a nivelurilor static și dinamic;</w:t>
      </w:r>
    </w:p>
    <w:p w14:paraId="7D43339D"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analize ale apei relevante pentru utilizarea la irigare și pentru protecția instalațiilor și a solului;</w:t>
      </w:r>
    </w:p>
    <w:p w14:paraId="161FFAD5"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protecția capului puțului, etanșarea la suprafață, drenajul, împrejmuirea ori zona de protecție stabilită de autorități;</w:t>
      </w:r>
    </w:p>
    <w:p w14:paraId="63E68D53"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posibilitatea instalării debitmetrului și a dispozitivelor de monitorizare cerute prin avize;</w:t>
      </w:r>
    </w:p>
    <w:p w14:paraId="1EC8A217"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procedură pentru conservare sau abandonare și etanșare dacă rezultatul este neproductiv ori necorespunzător;</w:t>
      </w:r>
    </w:p>
    <w:p w14:paraId="11FF0647"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plan cu coordonate, fișă tehnică, documentație as-built, probe, procese-verbale și cartea tehnică;</w:t>
      </w:r>
    </w:p>
    <w:p w14:paraId="7FA094ED" w14:textId="77777777" w:rsidR="00DD70F3" w:rsidRPr="00600089" w:rsidRDefault="00C56FE8">
      <w:pPr>
        <w:pStyle w:val="Listcumarcatori"/>
        <w:keepLines/>
        <w:rPr>
          <w:rFonts w:cs="Times New Roman"/>
          <w:sz w:val="28"/>
          <w:szCs w:val="28"/>
        </w:rPr>
      </w:pPr>
      <w:r>
        <w:rPr>
          <w:rFonts w:eastAsia="Times New Roman" w:cs="Times New Roman"/>
          <w:sz w:val="28"/>
          <w:szCs w:val="28"/>
        </w:rPr>
        <w:t>încadrarea tuturor cheltuielilor obiectivului în plafonul de 70.000 lei, inclusiv TVA.</w:t>
      </w:r>
    </w:p>
    <w:p w14:paraId="4E7E3EB5" w14:textId="77777777" w:rsidR="00DD70F3" w:rsidRPr="00600089" w:rsidRDefault="00C56FE8">
      <w:pPr>
        <w:rPr>
          <w:rFonts w:cs="Times New Roman"/>
          <w:sz w:val="28"/>
          <w:szCs w:val="28"/>
        </w:rPr>
      </w:pPr>
      <w:r>
        <w:rPr>
          <w:rFonts w:eastAsia="Times New Roman" w:cs="Times New Roman"/>
          <w:sz w:val="28"/>
          <w:szCs w:val="28"/>
        </w:rPr>
        <w:t>SF va stabili componența funcțională a investiției, inclusiv necesitatea pompei permanente, a alimentării electrice și a legăturii la rețeaua de irigare, în raport cu soluția tehnică și bugetul aprobat. Orice componentă care nu poate fi cuprinsă va fi justificată distinct, fără afectarea siguranței, protecției și posibilității de exploatare a captării.</w:t>
      </w:r>
    </w:p>
    <w:p w14:paraId="5C389446"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c) Nivelul de echipare, de finisare și de dotare, exigențe tehnice ale construcției în conformitate cu cerințele funcționale stabilite prin reglementări tehnice, de patrimoniu și de mediu în vigoare</w:t>
      </w:r>
    </w:p>
    <w:p w14:paraId="019D1833"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materiale de tubare și filtrare cu documente de calitate și compatibile cu apa și mediul subteran;</w:t>
      </w:r>
    </w:p>
    <w:p w14:paraId="02B61D0B"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etanșări care împiedică contaminarea și comunicarea între strate;</w:t>
      </w:r>
    </w:p>
    <w:p w14:paraId="1F84F189"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cap de puț sigur, accesibil, protejat împotriva intemperiilor, vandalismului și apelor de suprafață;</w:t>
      </w:r>
    </w:p>
    <w:p w14:paraId="4A32DF22"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amenajarea și refacerea terenului fără zone periculoase pentru utilizatorii bazei sportive;</w:t>
      </w:r>
    </w:p>
    <w:p w14:paraId="1CA6FC0D"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lastRenderedPageBreak/>
        <w:t>echipamente de testare și măsurare etalonate și rapoarte complete ale încercărilor.</w:t>
      </w:r>
    </w:p>
    <w:p w14:paraId="4D202EAD"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d) Număr estimat de utilizatori</w:t>
      </w:r>
    </w:p>
    <w:p w14:paraId="66AB8647" w14:textId="77777777" w:rsidR="00DD70F3" w:rsidRPr="00600089" w:rsidRDefault="00C56FE8">
      <w:pPr>
        <w:rPr>
          <w:rFonts w:cs="Times New Roman"/>
          <w:sz w:val="28"/>
          <w:szCs w:val="28"/>
        </w:rPr>
      </w:pPr>
      <w:r w:rsidRPr="00600089">
        <w:rPr>
          <w:rFonts w:eastAsia="Times New Roman" w:cs="Times New Roman"/>
          <w:sz w:val="28"/>
          <w:szCs w:val="28"/>
        </w:rPr>
        <w:t>Captarea va fi operată de personalul desemnat de Club și va deservi indirect utilizatorii terenurilor naturale. Accesul la capul puțului și la echipamente va fi restricționat personalului autorizat.</w:t>
      </w:r>
    </w:p>
    <w:p w14:paraId="5D4B2D0E"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e) Durata minimă de funcționare, apreciată corespunzător destinației/funcțiunilor propuse</w:t>
      </w:r>
    </w:p>
    <w:p w14:paraId="280C5511" w14:textId="77777777" w:rsidR="00DD70F3" w:rsidRPr="00600089" w:rsidRDefault="00C56FE8">
      <w:pPr>
        <w:rPr>
          <w:rFonts w:cs="Times New Roman"/>
          <w:sz w:val="28"/>
          <w:szCs w:val="28"/>
        </w:rPr>
      </w:pPr>
      <w:r w:rsidRPr="00600089">
        <w:rPr>
          <w:rFonts w:eastAsia="Times New Roman" w:cs="Times New Roman"/>
          <w:sz w:val="28"/>
          <w:szCs w:val="28"/>
        </w:rPr>
        <w:t>SF va stabili durata de viață estimată în raport cu materialele, condițiile hidrogeologice, debitul autorizat și programul de monitorizare și mentenanță. Exploatarea peste debitul admis ori fără întreținere nu va fi permisă.</w:t>
      </w:r>
    </w:p>
    <w:p w14:paraId="7C2844FD"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f) Nevoi/solicitări funcționale specifice</w:t>
      </w:r>
    </w:p>
    <w:p w14:paraId="2FEB999E"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debit sustenabil și stabil, determinat exclusiv prin teste;</w:t>
      </w:r>
    </w:p>
    <w:p w14:paraId="7C71180A"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apă compatibilă cu irigarea gazonului și cu instalațiile care vor fi utilizate;</w:t>
      </w:r>
    </w:p>
    <w:p w14:paraId="19B42914"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monitorizarea volumelor și nivelurilor în condițiile avizelor;</w:t>
      </w:r>
    </w:p>
    <w:p w14:paraId="2F98980B"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protecția resursei subterane și posibilitatea întreținerii și regenerării puțului;</w:t>
      </w:r>
    </w:p>
    <w:p w14:paraId="0C0DA52E" w14:textId="77777777" w:rsidR="00DD70F3" w:rsidRPr="00600089" w:rsidRDefault="00C56FE8">
      <w:pPr>
        <w:pStyle w:val="Listcumarcatori"/>
        <w:keepLines/>
        <w:rPr>
          <w:rFonts w:cs="Times New Roman"/>
          <w:sz w:val="28"/>
          <w:szCs w:val="28"/>
        </w:rPr>
      </w:pPr>
      <w:r>
        <w:rPr>
          <w:rFonts w:eastAsia="Times New Roman" w:cs="Times New Roman"/>
          <w:sz w:val="28"/>
          <w:szCs w:val="28"/>
        </w:rPr>
        <w:t>documentație suficientă pentru autorizarea folosinței, exploatarea, monitorizarea și întreținerea captării.</w:t>
      </w:r>
    </w:p>
    <w:p w14:paraId="02869E9F"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g) Corelarea soluțiilor tehnice cu condiționările urbanistice, de protecție a mediului și a patrimoniului</w:t>
      </w:r>
    </w:p>
    <w:p w14:paraId="017FE320" w14:textId="77777777" w:rsidR="00DD70F3" w:rsidRPr="00600089" w:rsidRDefault="00C56FE8">
      <w:pPr>
        <w:rPr>
          <w:rFonts w:cs="Times New Roman"/>
          <w:sz w:val="28"/>
          <w:szCs w:val="28"/>
        </w:rPr>
      </w:pPr>
      <w:r w:rsidRPr="00600089">
        <w:rPr>
          <w:rFonts w:eastAsia="Times New Roman" w:cs="Times New Roman"/>
          <w:sz w:val="28"/>
          <w:szCs w:val="28"/>
        </w:rPr>
        <w:t>Soluția va respecta certificatul de urbanism, avizul de gospodărire a apelor, actul autorității de mediu, protecția solului și a apelor subterane, regimul deșeurilor, condițiile de evacuare a apei din probe și eventualele cerințe de patrimoniu.</w:t>
      </w:r>
    </w:p>
    <w:p w14:paraId="2239004C"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h) Stabilirea unor criterii clare în vederea soluționării nevoii beneficiarului</w:t>
      </w:r>
    </w:p>
    <w:p w14:paraId="7FCD1A86"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încadrarea în plafonul de 70.000 lei, inclusiv TVA, fără eliminarea studiilor, avizelor, testelor sau protecțiilor obligatorii;</w:t>
      </w:r>
    </w:p>
    <w:p w14:paraId="7A7F7934"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amplasament și soluție fundamentate hidrogeologic și autorizabile;</w:t>
      </w:r>
    </w:p>
    <w:p w14:paraId="0759C57E"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debit, niveluri și calitate demonstrate prin rapoarte și buletine de analiză;</w:t>
      </w:r>
    </w:p>
    <w:p w14:paraId="19FA2128" w14:textId="77777777" w:rsidR="00DD70F3" w:rsidRPr="00600089" w:rsidRDefault="00C56FE8">
      <w:pPr>
        <w:pStyle w:val="Listcumarcatori"/>
        <w:keepLines/>
        <w:rPr>
          <w:rFonts w:cs="Times New Roman"/>
          <w:sz w:val="28"/>
          <w:szCs w:val="28"/>
        </w:rPr>
      </w:pPr>
      <w:r>
        <w:rPr>
          <w:rFonts w:eastAsia="Times New Roman" w:cs="Times New Roman"/>
          <w:sz w:val="28"/>
          <w:szCs w:val="28"/>
        </w:rPr>
        <w:t>obiectiv complet, funcțional, protejat și recepționabil;</w:t>
      </w:r>
    </w:p>
    <w:p w14:paraId="2BD6BFB8"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măsuri clare pentru rezultat nefavorabil, conservare ori abandonare;</w:t>
      </w:r>
    </w:p>
    <w:p w14:paraId="6885B48E"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documentații corelate și predate în format editabil, PDF semnat și pe hârtie conform contractului.</w:t>
      </w:r>
    </w:p>
    <w:p w14:paraId="6C6CAD0F"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Cerințe privind documentația SF și obligațiile proiectantului</w:t>
      </w:r>
    </w:p>
    <w:p w14:paraId="203813DC" w14:textId="77777777" w:rsidR="00DD70F3" w:rsidRPr="00600089" w:rsidRDefault="00C56FE8">
      <w:pPr>
        <w:rPr>
          <w:rFonts w:cs="Times New Roman"/>
          <w:sz w:val="28"/>
          <w:szCs w:val="28"/>
        </w:rPr>
      </w:pPr>
      <w:r>
        <w:rPr>
          <w:rFonts w:eastAsia="Times New Roman" w:cs="Times New Roman"/>
          <w:sz w:val="28"/>
          <w:szCs w:val="28"/>
        </w:rPr>
        <w:t xml:space="preserve">Proiectantul va elabora SF în conținutul-cadru al H.G. nr. 907/2016, cu scenarii/opțiuni, studii, avize, indicatori, deviz general, planuri, riscuri și strategia </w:t>
      </w:r>
      <w:r>
        <w:rPr>
          <w:rFonts w:eastAsia="Times New Roman" w:cs="Times New Roman"/>
          <w:sz w:val="28"/>
          <w:szCs w:val="28"/>
        </w:rPr>
        <w:lastRenderedPageBreak/>
        <w:t>de implementare și exploatare. Devizul va include toate costurile obiectivului, inclusiv măsurile pentru un rezultat nefavorabil și refacerea amplasamentului.</w:t>
      </w:r>
    </w:p>
    <w:p w14:paraId="225E98B2" w14:textId="77777777" w:rsidR="00DD70F3" w:rsidRPr="00600089" w:rsidRDefault="00C56FE8">
      <w:pPr>
        <w:rPr>
          <w:rFonts w:cs="Times New Roman"/>
          <w:sz w:val="28"/>
          <w:szCs w:val="28"/>
        </w:rPr>
      </w:pPr>
      <w:r w:rsidRPr="00600089">
        <w:rPr>
          <w:rFonts w:eastAsia="Times New Roman" w:cs="Times New Roman"/>
          <w:sz w:val="28"/>
          <w:szCs w:val="28"/>
        </w:rPr>
        <w:t>Proiectantul va utiliza specialiști și entități cu atestările cerute pentru studiile hidrogeologice și documentațiile de gospodărire a apelor. În numele Clubului și în baza mandatului, va pregăti, depune și urmări certificatul de urbanism nou, procedura de mediu, avizul de gospodărire a apelor, avizele de rețele și autorizația de construire. Emiterea actelor nu poate fi garantată, dar neconformitățile imputabile proiectantului se remediază fără costuri suplimentare.</w:t>
      </w:r>
    </w:p>
    <w:p w14:paraId="221499DE" w14:textId="77777777" w:rsidR="00DD70F3" w:rsidRPr="00600089" w:rsidRDefault="00C56FE8">
      <w:pPr>
        <w:rPr>
          <w:rFonts w:cs="Times New Roman"/>
          <w:sz w:val="28"/>
          <w:szCs w:val="28"/>
        </w:rPr>
      </w:pPr>
      <w:r w:rsidRPr="00600089">
        <w:rPr>
          <w:rFonts w:eastAsia="Times New Roman" w:cs="Times New Roman"/>
          <w:sz w:val="28"/>
          <w:szCs w:val="28"/>
        </w:rPr>
        <w:t>După aprobarea SF și a indicatorilor, achiziția de proiectare și execuție va include proiectul pentru autorizare, proiectul tehnic și detaliile, verificarea, execuția forajului, asistența, testele, analizele, documentația as-built, cartea tehnică și documentele necesare recepției și autorizării ulterioare a folosinței de apă. Strategia și procedura se vor stabili pe baza valorii estimate fără TVA a întregului obiect, fără fragmentare artificială.</w:t>
      </w:r>
    </w:p>
    <w:p w14:paraId="0B5F8BC7" w14:textId="77777777" w:rsidR="00DD70F3" w:rsidRPr="00600089" w:rsidRDefault="00C56FE8">
      <w:pPr>
        <w:pStyle w:val="Titlu3"/>
        <w:rPr>
          <w:rFonts w:ascii="Times New Roman" w:hAnsi="Times New Roman" w:cs="Times New Roman"/>
          <w:sz w:val="28"/>
          <w:szCs w:val="28"/>
        </w:rPr>
      </w:pPr>
      <w:r w:rsidRPr="00600089">
        <w:rPr>
          <w:rFonts w:ascii="Times New Roman" w:hAnsi="Times New Roman" w:cs="Times New Roman"/>
          <w:sz w:val="28"/>
          <w:szCs w:val="28"/>
        </w:rPr>
        <w:t>Delimitarea responsabilităților pe etape</w:t>
      </w:r>
    </w:p>
    <w:p w14:paraId="6B82189F" w14:textId="77777777" w:rsidR="00DD70F3" w:rsidRPr="00600089" w:rsidRDefault="00C56FE8">
      <w:pPr>
        <w:rPr>
          <w:rFonts w:cs="Times New Roman"/>
          <w:sz w:val="28"/>
          <w:szCs w:val="28"/>
        </w:rPr>
      </w:pPr>
      <w:r>
        <w:rPr>
          <w:rFonts w:eastAsia="Times New Roman" w:cs="Times New Roman"/>
          <w:sz w:val="28"/>
          <w:szCs w:val="28"/>
        </w:rPr>
        <w:t>Clubul verifică, avizează și își însușește nota conceptuală și tema de proiectare, pune la dispoziție documentele și datele disponibile, confirmă necesarul de irigare, mandatează proiectantul, derulează achizițiile și urmărește bugetul, iar documentele preliminare sunt înaintate spre aprobarea Consiliului Județean Vrancea. Clubul nu va considera debitul, calitatea ori autorizarea ca rezultate garantate înaintea studiilor, execuției și testelor.</w:t>
      </w:r>
    </w:p>
    <w:p w14:paraId="78F788F7" w14:textId="77777777" w:rsidR="00DD70F3" w:rsidRPr="00600089" w:rsidRDefault="00C56FE8">
      <w:pPr>
        <w:rPr>
          <w:rFonts w:cs="Times New Roman"/>
          <w:sz w:val="28"/>
          <w:szCs w:val="28"/>
        </w:rPr>
      </w:pPr>
      <w:r w:rsidRPr="00600089">
        <w:rPr>
          <w:rFonts w:eastAsia="Times New Roman" w:cs="Times New Roman"/>
          <w:sz w:val="28"/>
          <w:szCs w:val="28"/>
        </w:rPr>
        <w:t>Județul Vrancea emite acordul proprietarului și actele care țin de proprietate, iar Consiliul Județean aprobă documentațiile și indicatorii potrivit competențelor. Proiectantul răspunde pentru fundamentare, proiectare, documentațiile de avizare și urmărirea lor. Executantul răspunde pentru tehnologia de foraj, calitatea lucrărilor, jurnalul, probele și refacerea terenului, în limitele contractului și proiectului.</w:t>
      </w:r>
    </w:p>
    <w:p w14:paraId="4B4E59A6" w14:textId="77777777" w:rsidR="00DD70F3" w:rsidRPr="00600089" w:rsidRDefault="00C56FE8">
      <w:pPr>
        <w:pStyle w:val="Titlu2"/>
        <w:rPr>
          <w:rFonts w:ascii="Times New Roman" w:hAnsi="Times New Roman" w:cs="Times New Roman"/>
          <w:sz w:val="28"/>
          <w:szCs w:val="28"/>
        </w:rPr>
      </w:pPr>
      <w:r w:rsidRPr="00600089">
        <w:rPr>
          <w:rFonts w:ascii="Times New Roman" w:hAnsi="Times New Roman" w:cs="Times New Roman"/>
          <w:sz w:val="28"/>
          <w:szCs w:val="28"/>
        </w:rPr>
        <w:t>2.4. Cadrul legislativ aplicabil și impunerile ce rezultă din aplicarea acestuia</w:t>
      </w:r>
    </w:p>
    <w:p w14:paraId="17D22121" w14:textId="77777777" w:rsidR="00DD70F3" w:rsidRPr="00600089" w:rsidRDefault="00C56FE8">
      <w:pPr>
        <w:rPr>
          <w:rFonts w:cs="Times New Roman"/>
          <w:sz w:val="28"/>
          <w:szCs w:val="28"/>
        </w:rPr>
      </w:pPr>
      <w:r w:rsidRPr="00600089">
        <w:rPr>
          <w:rFonts w:eastAsia="Times New Roman" w:cs="Times New Roman"/>
          <w:sz w:val="28"/>
          <w:szCs w:val="28"/>
        </w:rPr>
        <w:t>Proiectarea, avizarea, aprobarea, achiziția și realizarea investiției vor respecta actele normative în vigoare la data fiecărei etape. Cadrul principal avut în vedere la redactare este:</w:t>
      </w:r>
    </w:p>
    <w:p w14:paraId="734DB112"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H.G. nr. 907/2016 privind etapele de elaborare și conținutul-cadru al documentațiilor tehnico-economice, cu modificările și completările ulterioare;</w:t>
      </w:r>
    </w:p>
    <w:p w14:paraId="068F07B0"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Legea apelor nr. 107/1996, cu modificările și completările ulterioare;</w:t>
      </w:r>
    </w:p>
    <w:p w14:paraId="3826A010"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Ordinul nr. 828/2019 privind procedura de emitere a avizului de gospodărire a apelor și Ordinul nr. 891/2019 privind autorizația de gospodărire a apelor, în formele în vigoare;</w:t>
      </w:r>
    </w:p>
    <w:p w14:paraId="3CD75756"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lastRenderedPageBreak/>
        <w:t>Ordinul nr. 1.287/2021 privind atestarea entităților care elaborează documentații și studii hidrogeologice, cu modificările ulterioare;</w:t>
      </w:r>
    </w:p>
    <w:p w14:paraId="2C3E49B2"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Legea nr. 292/2018 privind evaluarea impactului anumitor proiecte publice și private asupra mediului;</w:t>
      </w:r>
    </w:p>
    <w:p w14:paraId="6C9E0821"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Legea nr. 10/1995 privind calitatea în construcții și Legea nr. 50/1991 privind autorizarea executării lucrărilor de construcții;</w:t>
      </w:r>
    </w:p>
    <w:p w14:paraId="05AACB5C"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Legea nr. 273/2006 privind finanțele publice locale și O.U.G. nr. 57/2019 privind Codul administrativ;</w:t>
      </w:r>
    </w:p>
    <w:p w14:paraId="04483528"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Legea nr. 98/2016 privind achizițiile publice și H.G. nr. 395/2016, cu modificările și completările ulterioare;</w:t>
      </w:r>
    </w:p>
    <w:p w14:paraId="612C03DD"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O.U.G. nr. 195/2005 privind protecția mediului și O.U.G. nr. 92/2021 privind regimul deșeurilor;</w:t>
      </w:r>
    </w:p>
    <w:p w14:paraId="709D284C"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H.C.J. Vrancea nr. 80/06.05.2026 și Protocolul de predare-primire din 25.06.2026;</w:t>
      </w:r>
    </w:p>
    <w:p w14:paraId="581FE4D8" w14:textId="77777777" w:rsidR="00DD70F3" w:rsidRPr="00600089" w:rsidRDefault="00C56FE8">
      <w:pPr>
        <w:pStyle w:val="Listcumarcatori"/>
        <w:keepLines/>
        <w:rPr>
          <w:rFonts w:cs="Times New Roman"/>
          <w:sz w:val="28"/>
          <w:szCs w:val="28"/>
        </w:rPr>
      </w:pPr>
      <w:r w:rsidRPr="00600089">
        <w:rPr>
          <w:rFonts w:eastAsia="Times New Roman" w:cs="Times New Roman"/>
          <w:sz w:val="28"/>
          <w:szCs w:val="28"/>
        </w:rPr>
        <w:t>reglementările tehnice aplicabile captărilor de apă subterană, forajelor, probelor de pompare, protecției acviferelor și instalațiilor de irigare, în edițiile în vigoare.</w:t>
      </w:r>
    </w:p>
    <w:p w14:paraId="5A9B0869" w14:textId="77777777" w:rsidR="00DD70F3" w:rsidRPr="00600089" w:rsidRDefault="00C56FE8">
      <w:pPr>
        <w:rPr>
          <w:rFonts w:cs="Times New Roman"/>
          <w:sz w:val="28"/>
          <w:szCs w:val="28"/>
        </w:rPr>
      </w:pPr>
      <w:r w:rsidRPr="00600089">
        <w:rPr>
          <w:rFonts w:eastAsia="Times New Roman" w:cs="Times New Roman"/>
          <w:sz w:val="28"/>
          <w:szCs w:val="28"/>
        </w:rPr>
        <w:t>Lista nu este limitativă. Proiectantul va identifica toate actele, normativele, standardele, avizele și condițiile aplicabile și va actualiza cadrul legal la data elaborării și verificării documentației.</w:t>
      </w:r>
    </w:p>
    <w:p w14:paraId="3DAC52CB" w14:textId="77777777" w:rsidR="00386E18" w:rsidRPr="00C701F4" w:rsidRDefault="00386E18" w:rsidP="00386E18">
      <w:pPr>
        <w:spacing w:before="360" w:after="0" w:line="240" w:lineRule="auto"/>
        <w:jc w:val="left"/>
        <w:rPr>
          <w:sz w:val="28"/>
          <w:szCs w:val="28"/>
        </w:rPr>
      </w:pPr>
      <w:proofErr w:type="spellStart"/>
      <w:r w:rsidRPr="00C701F4">
        <w:rPr>
          <w:rFonts w:eastAsia="Times New Roman" w:cs="Times New Roman"/>
          <w:b/>
          <w:sz w:val="28"/>
          <w:szCs w:val="28"/>
        </w:rPr>
        <w:t>Beneficiar</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Clubul</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Sportiv</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Județean</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Vrancea</w:t>
      </w:r>
      <w:proofErr w:type="spellEnd"/>
    </w:p>
    <w:p w14:paraId="16F10ED7" w14:textId="77777777" w:rsidR="00386E18" w:rsidRPr="00C701F4" w:rsidRDefault="00386E18" w:rsidP="00386E18">
      <w:pPr>
        <w:spacing w:after="0" w:line="240" w:lineRule="auto"/>
        <w:jc w:val="left"/>
        <w:rPr>
          <w:sz w:val="28"/>
          <w:szCs w:val="28"/>
        </w:rPr>
      </w:pPr>
      <w:r w:rsidRPr="00C701F4">
        <w:rPr>
          <w:rFonts w:eastAsia="Times New Roman" w:cs="Times New Roman"/>
          <w:sz w:val="28"/>
          <w:szCs w:val="28"/>
        </w:rPr>
        <w:t xml:space="preserve">             </w:t>
      </w:r>
      <w:proofErr w:type="spellStart"/>
      <w:r w:rsidRPr="00C701F4">
        <w:rPr>
          <w:rFonts w:eastAsia="Times New Roman" w:cs="Times New Roman"/>
          <w:sz w:val="28"/>
          <w:szCs w:val="28"/>
        </w:rPr>
        <w:t>prin</w:t>
      </w:r>
      <w:proofErr w:type="spellEnd"/>
    </w:p>
    <w:p w14:paraId="38D30075" w14:textId="77777777" w:rsidR="00386E18" w:rsidRPr="00C701F4" w:rsidRDefault="00386E18" w:rsidP="00386E18">
      <w:pPr>
        <w:spacing w:after="240" w:line="240" w:lineRule="auto"/>
        <w:jc w:val="left"/>
        <w:rPr>
          <w:sz w:val="28"/>
          <w:szCs w:val="28"/>
        </w:rPr>
      </w:pP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11C564BE" w14:textId="77777777" w:rsidR="00386E18" w:rsidRPr="00C701F4" w:rsidRDefault="00386E18" w:rsidP="00386E18">
      <w:pPr>
        <w:spacing w:after="0" w:line="240" w:lineRule="auto"/>
        <w:jc w:val="left"/>
        <w:rPr>
          <w:sz w:val="28"/>
          <w:szCs w:val="28"/>
        </w:rPr>
      </w:pPr>
      <w:proofErr w:type="spellStart"/>
      <w:r w:rsidRPr="00C701F4">
        <w:rPr>
          <w:rFonts w:eastAsia="Times New Roman" w:cs="Times New Roman"/>
          <w:sz w:val="28"/>
          <w:szCs w:val="28"/>
        </w:rPr>
        <w:t>Întocmit</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Beneficiar</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5CB69780" w14:textId="77777777" w:rsidR="00386E18" w:rsidRPr="00C701F4" w:rsidRDefault="00386E18" w:rsidP="00386E18">
      <w:pPr>
        <w:spacing w:after="440" w:line="240" w:lineRule="auto"/>
        <w:jc w:val="left"/>
        <w:rPr>
          <w:sz w:val="28"/>
          <w:szCs w:val="28"/>
        </w:rPr>
      </w:pPr>
      <w:r w:rsidRPr="00C701F4">
        <w:rPr>
          <w:rFonts w:eastAsia="Times New Roman" w:cs="Times New Roman"/>
          <w:sz w:val="28"/>
          <w:szCs w:val="28"/>
        </w:rPr>
        <w:t xml:space="preserve">     </w:t>
      </w:r>
      <w:r>
        <w:rPr>
          <w:rFonts w:eastAsia="Times New Roman" w:cs="Times New Roman"/>
          <w:sz w:val="28"/>
          <w:szCs w:val="28"/>
        </w:rPr>
        <w:t xml:space="preserve">Inspector de </w:t>
      </w:r>
      <w:proofErr w:type="spellStart"/>
      <w:r>
        <w:rPr>
          <w:rFonts w:eastAsia="Times New Roman" w:cs="Times New Roman"/>
          <w:sz w:val="28"/>
          <w:szCs w:val="28"/>
        </w:rPr>
        <w:t>specialitate</w:t>
      </w:r>
      <w:proofErr w:type="spellEnd"/>
      <w:r>
        <w:rPr>
          <w:rFonts w:eastAsia="Times New Roman" w:cs="Times New Roman"/>
          <w:sz w:val="28"/>
          <w:szCs w:val="28"/>
        </w:rPr>
        <w:t xml:space="preserve"> </w:t>
      </w:r>
      <w:proofErr w:type="spellStart"/>
      <w:r>
        <w:rPr>
          <w:rFonts w:eastAsia="Times New Roman" w:cs="Times New Roman"/>
          <w:sz w:val="28"/>
          <w:szCs w:val="28"/>
        </w:rPr>
        <w:t>compartiment</w:t>
      </w:r>
      <w:proofErr w:type="spellEnd"/>
      <w:r>
        <w:rPr>
          <w:rFonts w:eastAsia="Times New Roman" w:cs="Times New Roman"/>
          <w:sz w:val="28"/>
          <w:szCs w:val="28"/>
        </w:rPr>
        <w:t xml:space="preserve"> </w:t>
      </w:r>
      <w:proofErr w:type="spellStart"/>
      <w:r>
        <w:rPr>
          <w:rFonts w:eastAsia="Times New Roman" w:cs="Times New Roman"/>
          <w:sz w:val="28"/>
          <w:szCs w:val="28"/>
        </w:rPr>
        <w:t>financiar-contabil</w:t>
      </w:r>
      <w:proofErr w:type="spellEnd"/>
      <w:r w:rsidRPr="00C701F4">
        <w:rPr>
          <w:rFonts w:eastAsia="Times New Roman" w:cs="Times New Roman"/>
          <w:sz w:val="28"/>
          <w:szCs w:val="28"/>
        </w:rPr>
        <w:t>:</w:t>
      </w:r>
      <w:r>
        <w:rPr>
          <w:rFonts w:eastAsia="Times New Roman" w:cs="Times New Roman"/>
          <w:sz w:val="28"/>
          <w:szCs w:val="28"/>
        </w:rPr>
        <w:t xml:space="preserve"> Stănescu Ionuț</w:t>
      </w:r>
    </w:p>
    <w:p w14:paraId="63DEF878" w14:textId="77777777" w:rsidR="00386E18" w:rsidRPr="00BB78B5" w:rsidRDefault="00386E18" w:rsidP="00386E18">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Președintele</w:t>
      </w:r>
    </w:p>
    <w:p w14:paraId="7BEEEDCE" w14:textId="77777777" w:rsidR="00386E18" w:rsidRPr="00BB78B5" w:rsidRDefault="00386E18" w:rsidP="00386E18">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Consiliului Județean Vrancea</w:t>
      </w:r>
    </w:p>
    <w:p w14:paraId="1825EC5A" w14:textId="77777777" w:rsidR="00386E18" w:rsidRPr="00BB78B5" w:rsidRDefault="00386E18" w:rsidP="00386E18">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Nicușor HALICI</w:t>
      </w:r>
    </w:p>
    <w:p w14:paraId="01E8FD8F" w14:textId="77777777" w:rsidR="00386E18" w:rsidRPr="00BB78B5" w:rsidRDefault="00386E18" w:rsidP="00386E18">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625407A7" w14:textId="77777777" w:rsidR="00386E18" w:rsidRPr="00BB78B5" w:rsidRDefault="00386E18" w:rsidP="00386E18">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0DA8FE82" w14:textId="77777777" w:rsidR="00386E18" w:rsidRPr="00BB78B5" w:rsidRDefault="00386E18" w:rsidP="00386E18">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27387887" w14:textId="1EB177E1" w:rsidR="00386E18" w:rsidRPr="00BB78B5" w:rsidRDefault="009D0D7E" w:rsidP="00386E18">
      <w:pPr>
        <w:widowControl w:val="0"/>
        <w:kinsoku w:val="0"/>
        <w:overflowPunct w:val="0"/>
        <w:spacing w:after="0" w:line="240" w:lineRule="auto"/>
        <w:ind w:left="5040" w:right="-261" w:firstLine="0"/>
        <w:jc w:val="center"/>
        <w:textAlignment w:val="baseline"/>
        <w:rPr>
          <w:rFonts w:eastAsia="Times New Roman" w:cs="Times New Roman"/>
          <w:b/>
          <w:bCs/>
          <w:color w:val="auto"/>
          <w:sz w:val="28"/>
          <w:szCs w:val="28"/>
          <w:lang w:val="ro-RO" w:eastAsia="en-GB"/>
        </w:rPr>
      </w:pPr>
      <w:r>
        <w:rPr>
          <w:rFonts w:eastAsia="Times New Roman" w:cs="Times New Roman"/>
          <w:b/>
          <w:bCs/>
          <w:color w:val="auto"/>
          <w:sz w:val="28"/>
          <w:szCs w:val="28"/>
          <w:lang w:val="ro-RO" w:eastAsia="en-GB"/>
        </w:rPr>
        <w:t xml:space="preserve">            </w:t>
      </w:r>
      <w:r w:rsidR="00386E18" w:rsidRPr="00BB78B5">
        <w:rPr>
          <w:rFonts w:eastAsia="Times New Roman" w:cs="Times New Roman"/>
          <w:b/>
          <w:bCs/>
          <w:color w:val="auto"/>
          <w:sz w:val="28"/>
          <w:szCs w:val="28"/>
          <w:lang w:val="ro-RO" w:eastAsia="en-GB"/>
        </w:rPr>
        <w:t xml:space="preserve">   </w:t>
      </w:r>
      <w:r>
        <w:rPr>
          <w:rFonts w:eastAsia="Times New Roman" w:cs="Times New Roman"/>
          <w:b/>
          <w:bCs/>
          <w:color w:val="auto"/>
          <w:sz w:val="28"/>
          <w:szCs w:val="28"/>
          <w:lang w:val="ro-RO" w:eastAsia="en-GB"/>
        </w:rPr>
        <w:t xml:space="preserve">Contrasemnează, </w:t>
      </w:r>
    </w:p>
    <w:p w14:paraId="3C748878" w14:textId="77777777" w:rsidR="00386E18" w:rsidRPr="00BB78B5" w:rsidRDefault="00386E18" w:rsidP="00386E18">
      <w:pPr>
        <w:widowControl w:val="0"/>
        <w:kinsoku w:val="0"/>
        <w:overflowPunct w:val="0"/>
        <w:spacing w:after="0" w:line="240" w:lineRule="auto"/>
        <w:ind w:left="5310" w:right="-261" w:firstLine="450"/>
        <w:jc w:val="left"/>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Secretar general al județului                          </w:t>
      </w:r>
    </w:p>
    <w:p w14:paraId="5DA42AA0" w14:textId="77777777" w:rsidR="00386E18" w:rsidRPr="00BB78B5" w:rsidRDefault="00386E18" w:rsidP="00386E18">
      <w:pPr>
        <w:spacing w:after="0" w:line="240" w:lineRule="auto"/>
        <w:ind w:firstLine="0"/>
        <w:rPr>
          <w:rFonts w:eastAsia="Times New Roman" w:cs="Times New Roman"/>
          <w:color w:val="auto"/>
          <w:sz w:val="28"/>
        </w:rPr>
      </w:pPr>
      <w:r w:rsidRPr="00BB78B5">
        <w:rPr>
          <w:rFonts w:eastAsia="Times New Roman" w:cs="Times New Roman"/>
          <w:b/>
          <w:bCs/>
          <w:color w:val="auto"/>
          <w:sz w:val="28"/>
          <w:szCs w:val="28"/>
          <w:lang w:val="ro-RO" w:eastAsia="en-GB"/>
        </w:rPr>
        <w:t xml:space="preserve">                                                                                                    Raluca Dan        </w:t>
      </w:r>
    </w:p>
    <w:p w14:paraId="6DCA5460" w14:textId="51B591EF" w:rsidR="00D127DD" w:rsidRDefault="00D127DD" w:rsidP="00386E18">
      <w:pPr>
        <w:spacing w:before="360" w:after="0" w:line="240" w:lineRule="auto"/>
        <w:jc w:val="left"/>
      </w:pPr>
    </w:p>
    <w:sectPr w:rsidR="00D127DD" w:rsidSect="00034616">
      <w:footerReference w:type="default" r:id="rId8"/>
      <w:pgSz w:w="11906" w:h="16838"/>
      <w:pgMar w:top="1134" w:right="1134" w:bottom="1134" w:left="141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A4EC9" w14:textId="77777777" w:rsidR="003E06FD" w:rsidRDefault="003E06FD">
      <w:pPr>
        <w:spacing w:after="0" w:line="240" w:lineRule="auto"/>
      </w:pPr>
      <w:r>
        <w:separator/>
      </w:r>
    </w:p>
  </w:endnote>
  <w:endnote w:type="continuationSeparator" w:id="0">
    <w:p w14:paraId="0587C33C" w14:textId="77777777" w:rsidR="003E06FD" w:rsidRDefault="003E0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39CB" w14:textId="77777777" w:rsidR="00D127DD" w:rsidRPr="00386E18" w:rsidRDefault="00754A9F">
    <w:pPr>
      <w:spacing w:after="0" w:line="240" w:lineRule="auto"/>
      <w:jc w:val="center"/>
      <w:rPr>
        <w:sz w:val="28"/>
        <w:szCs w:val="28"/>
      </w:rPr>
    </w:pPr>
    <w:r w:rsidRPr="00386E18">
      <w:rPr>
        <w:rFonts w:eastAsia="Times New Roman" w:cs="Times New Roman"/>
        <w:sz w:val="28"/>
        <w:szCs w:val="28"/>
      </w:rPr>
      <w:fldChar w:fldCharType="begin"/>
    </w:r>
    <w:r w:rsidRPr="00386E18">
      <w:rPr>
        <w:rFonts w:eastAsia="Times New Roman" w:cs="Times New Roman"/>
        <w:sz w:val="28"/>
        <w:szCs w:val="28"/>
      </w:rPr>
      <w:instrText xml:space="preserve"> PAGE </w:instrText>
    </w:r>
    <w:r w:rsidRPr="00386E18">
      <w:rPr>
        <w:rFonts w:eastAsia="Times New Roman" w:cs="Times New Roman"/>
        <w:sz w:val="28"/>
        <w:szCs w:val="28"/>
      </w:rPr>
      <w:fldChar w:fldCharType="separate"/>
    </w:r>
    <w:r w:rsidRPr="00386E18">
      <w:rPr>
        <w:rFonts w:eastAsia="Times New Roman" w:cs="Times New Roman"/>
        <w:sz w:val="28"/>
        <w:szCs w:val="28"/>
      </w:rPr>
      <w:t>1</w:t>
    </w:r>
    <w:r w:rsidRPr="00386E18">
      <w:rPr>
        <w:rFonts w:eastAsia="Times New Roman" w:cs="Times New Roman"/>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3C99C" w14:textId="77777777" w:rsidR="003E06FD" w:rsidRDefault="003E06FD">
      <w:pPr>
        <w:spacing w:after="0" w:line="240" w:lineRule="auto"/>
      </w:pPr>
      <w:r>
        <w:separator/>
      </w:r>
    </w:p>
  </w:footnote>
  <w:footnote w:type="continuationSeparator" w:id="0">
    <w:p w14:paraId="54DA192A" w14:textId="77777777" w:rsidR="003E06FD" w:rsidRDefault="003E06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995953931">
    <w:abstractNumId w:val="8"/>
  </w:num>
  <w:num w:numId="2" w16cid:durableId="431751477">
    <w:abstractNumId w:val="6"/>
  </w:num>
  <w:num w:numId="3" w16cid:durableId="1950552427">
    <w:abstractNumId w:val="5"/>
  </w:num>
  <w:num w:numId="4" w16cid:durableId="391193022">
    <w:abstractNumId w:val="4"/>
  </w:num>
  <w:num w:numId="5" w16cid:durableId="1677801629">
    <w:abstractNumId w:val="7"/>
  </w:num>
  <w:num w:numId="6" w16cid:durableId="831532613">
    <w:abstractNumId w:val="3"/>
  </w:num>
  <w:num w:numId="7" w16cid:durableId="1782918228">
    <w:abstractNumId w:val="2"/>
  </w:num>
  <w:num w:numId="8" w16cid:durableId="1787195636">
    <w:abstractNumId w:val="1"/>
  </w:num>
  <w:num w:numId="9" w16cid:durableId="2005475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10BC"/>
    <w:rsid w:val="0029639D"/>
    <w:rsid w:val="00326F90"/>
    <w:rsid w:val="00386E18"/>
    <w:rsid w:val="003E06FD"/>
    <w:rsid w:val="0041164A"/>
    <w:rsid w:val="005624D4"/>
    <w:rsid w:val="00587C79"/>
    <w:rsid w:val="005C5F31"/>
    <w:rsid w:val="00600089"/>
    <w:rsid w:val="006A1C36"/>
    <w:rsid w:val="006D608A"/>
    <w:rsid w:val="00754A9F"/>
    <w:rsid w:val="009D0D7E"/>
    <w:rsid w:val="00AA1D8D"/>
    <w:rsid w:val="00B47730"/>
    <w:rsid w:val="00C56FE8"/>
    <w:rsid w:val="00C64E7C"/>
    <w:rsid w:val="00C93B7D"/>
    <w:rsid w:val="00CB0664"/>
    <w:rsid w:val="00D127DD"/>
    <w:rsid w:val="00DA5809"/>
    <w:rsid w:val="00DD70F3"/>
    <w:rsid w:val="00FA41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59A5FF7-47B7-44A8-B46C-63787DAA4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709"/>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line="240" w:lineRule="auto"/>
      <w:ind w:firstLine="0"/>
      <w:jc w:val="left"/>
      <w:outlineLvl w:val="0"/>
    </w:pPr>
    <w:rPr>
      <w:rFonts w:asciiTheme="majorHAnsi" w:eastAsiaTheme="majorEastAsia" w:hAnsiTheme="majorHAnsi" w:cstheme="majorBidi"/>
      <w:b/>
      <w:bCs/>
      <w:sz w:val="26"/>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ind w:firstLine="0"/>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ind w:firstLine="0"/>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keepNext/>
      <w:spacing w:before="240" w:after="240" w:line="240" w:lineRule="auto"/>
      <w:ind w:firstLine="0"/>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tabs>
        <w:tab w:val="left" w:pos="720"/>
      </w:tabs>
      <w:spacing w:after="60"/>
      <w:ind w:left="720"/>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2185</Words>
  <Characters>12673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Puț forat – etapă I (foraj) pentru irigare terenuri naturale</dc:title>
  <dc:subject>Notă conceptuală și temă de proiectare</dc:subject>
  <dc:creator>Clubul Sportiv Județean Vrancea</dc:creator>
  <cp:keywords>HG 907/2016; investiție publică; Clubul Sportiv Județean Vrancea</cp:keywords>
  <dc:description>Draft elaborat pentru verificarea, asumarea și aprobarea beneficiarului.</dc:description>
  <cp:lastModifiedBy>Tulbure Mihaela</cp:lastModifiedBy>
  <cp:revision>6</cp:revision>
  <dcterms:created xsi:type="dcterms:W3CDTF">2026-08-03T12:07:00Z</dcterms:created>
  <dcterms:modified xsi:type="dcterms:W3CDTF">2026-09-15T08:41:00Z</dcterms:modified>
  <cp:category/>
</cp:coreProperties>
</file>