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5" w:type="dxa"/>
        <w:tblBorders>
          <w:top w:val="nil"/>
          <w:left w:val="nil"/>
          <w:bottom w:val="nil"/>
          <w:right w:val="nil"/>
          <w:insideH w:val="nil"/>
          <w:insideV w:val="nil"/>
        </w:tblBorders>
        <w:tblLayout w:type="fixed"/>
        <w:tblLook w:val="04A0" w:firstRow="1" w:lastRow="0" w:firstColumn="1" w:lastColumn="0" w:noHBand="0" w:noVBand="1"/>
      </w:tblPr>
      <w:tblGrid>
        <w:gridCol w:w="4303"/>
        <w:gridCol w:w="5052"/>
      </w:tblGrid>
      <w:tr w:rsidR="005C0DF5" w:rsidRPr="00C701F4" w14:paraId="58614531" w14:textId="77777777">
        <w:tc>
          <w:tcPr>
            <w:tcW w:w="4303" w:type="dxa"/>
            <w:tcMar>
              <w:top w:w="0" w:type="dxa"/>
              <w:left w:w="0" w:type="dxa"/>
              <w:bottom w:w="0" w:type="dxa"/>
              <w:right w:w="0" w:type="dxa"/>
            </w:tcMar>
          </w:tcPr>
          <w:p w14:paraId="2D42F459" w14:textId="77777777" w:rsidR="005C0DF5" w:rsidRPr="00C701F4" w:rsidRDefault="00512D0E">
            <w:pPr>
              <w:spacing w:after="0" w:line="240" w:lineRule="auto"/>
              <w:jc w:val="left"/>
              <w:rPr>
                <w:sz w:val="28"/>
                <w:szCs w:val="28"/>
              </w:rPr>
            </w:pPr>
            <w:r w:rsidRPr="00C701F4">
              <w:rPr>
                <w:rFonts w:eastAsia="Times New Roman" w:cs="Times New Roman"/>
                <w:b/>
                <w:sz w:val="28"/>
                <w:szCs w:val="28"/>
              </w:rPr>
              <w:t>ROMÂNIA</w:t>
            </w:r>
            <w:r w:rsidRPr="00C701F4">
              <w:rPr>
                <w:rFonts w:eastAsia="Times New Roman" w:cs="Times New Roman"/>
                <w:b/>
                <w:sz w:val="28"/>
                <w:szCs w:val="28"/>
              </w:rPr>
              <w:br/>
              <w:t>JUDEȚUL VRANCEA</w:t>
            </w:r>
            <w:r w:rsidRPr="00C701F4">
              <w:rPr>
                <w:rFonts w:eastAsia="Times New Roman" w:cs="Times New Roman"/>
                <w:b/>
                <w:sz w:val="28"/>
                <w:szCs w:val="28"/>
              </w:rPr>
              <w:br/>
              <w:t>CONSILIUL JUDEȚEAN</w:t>
            </w:r>
          </w:p>
        </w:tc>
        <w:tc>
          <w:tcPr>
            <w:tcW w:w="5052" w:type="dxa"/>
            <w:tcMar>
              <w:top w:w="0" w:type="dxa"/>
              <w:left w:w="0" w:type="dxa"/>
              <w:bottom w:w="0" w:type="dxa"/>
              <w:right w:w="0" w:type="dxa"/>
            </w:tcMar>
          </w:tcPr>
          <w:p w14:paraId="7CA4C688" w14:textId="5FD5B7CB" w:rsidR="005C0DF5" w:rsidRPr="00C701F4" w:rsidRDefault="00512D0E">
            <w:pPr>
              <w:spacing w:after="0" w:line="240" w:lineRule="auto"/>
              <w:jc w:val="center"/>
              <w:rPr>
                <w:sz w:val="28"/>
                <w:szCs w:val="28"/>
              </w:rPr>
            </w:pPr>
            <w:r w:rsidRPr="00C701F4">
              <w:rPr>
                <w:rFonts w:eastAsia="Times New Roman" w:cs="Times New Roman"/>
                <w:b/>
                <w:sz w:val="28"/>
                <w:szCs w:val="28"/>
              </w:rPr>
              <w:t>Anexa nr. 1a</w:t>
            </w:r>
            <w:r w:rsidRPr="00C701F4">
              <w:rPr>
                <w:rFonts w:eastAsia="Times New Roman" w:cs="Times New Roman"/>
                <w:b/>
                <w:sz w:val="28"/>
                <w:szCs w:val="28"/>
              </w:rPr>
              <w:br/>
              <w:t xml:space="preserve">la Hotărârea nr. </w:t>
            </w:r>
            <w:r w:rsidR="005D0C24">
              <w:rPr>
                <w:rFonts w:eastAsia="Times New Roman" w:cs="Times New Roman"/>
                <w:b/>
                <w:sz w:val="28"/>
                <w:szCs w:val="28"/>
              </w:rPr>
              <w:t xml:space="preserve">216 </w:t>
            </w:r>
            <w:proofErr w:type="gramStart"/>
            <w:r w:rsidR="005D0C24">
              <w:rPr>
                <w:rFonts w:eastAsia="Times New Roman" w:cs="Times New Roman"/>
                <w:b/>
                <w:sz w:val="28"/>
                <w:szCs w:val="28"/>
              </w:rPr>
              <w:t>din</w:t>
            </w:r>
            <w:proofErr w:type="gramEnd"/>
            <w:r w:rsidR="005D0C24">
              <w:rPr>
                <w:rFonts w:eastAsia="Times New Roman" w:cs="Times New Roman"/>
                <w:b/>
                <w:sz w:val="28"/>
                <w:szCs w:val="28"/>
              </w:rPr>
              <w:t xml:space="preserve"> 17.09.2026</w:t>
            </w:r>
          </w:p>
        </w:tc>
      </w:tr>
    </w:tbl>
    <w:p w14:paraId="26A85752" w14:textId="77777777" w:rsidR="005C0DF5" w:rsidRDefault="005C0DF5">
      <w:pPr>
        <w:spacing w:after="100" w:line="240" w:lineRule="auto"/>
      </w:pPr>
    </w:p>
    <w:tbl>
      <w:tblPr>
        <w:tblW w:w="935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3274"/>
        <w:gridCol w:w="6081"/>
      </w:tblGrid>
      <w:tr w:rsidR="005C0DF5" w:rsidRPr="00C701F4" w14:paraId="36F920C5" w14:textId="77777777">
        <w:tc>
          <w:tcPr>
            <w:tcW w:w="3274" w:type="dxa"/>
            <w:tcMar>
              <w:top w:w="240" w:type="dxa"/>
              <w:left w:w="110" w:type="dxa"/>
              <w:bottom w:w="240" w:type="dxa"/>
              <w:right w:w="110" w:type="dxa"/>
            </w:tcMar>
            <w:vAlign w:val="center"/>
          </w:tcPr>
          <w:p w14:paraId="232ABB8F" w14:textId="77777777" w:rsidR="005C0DF5" w:rsidRPr="00C701F4" w:rsidRDefault="00512D0E">
            <w:pPr>
              <w:spacing w:after="0" w:line="240" w:lineRule="auto"/>
              <w:jc w:val="center"/>
              <w:rPr>
                <w:sz w:val="28"/>
                <w:szCs w:val="28"/>
              </w:rPr>
            </w:pPr>
            <w:r w:rsidRPr="00C701F4">
              <w:rPr>
                <w:rFonts w:eastAsia="Times New Roman" w:cs="Times New Roman"/>
                <w:b/>
                <w:sz w:val="28"/>
                <w:szCs w:val="28"/>
              </w:rPr>
              <w:t>Beneficiar:</w:t>
            </w:r>
            <w:r w:rsidRPr="00C701F4">
              <w:rPr>
                <w:rFonts w:eastAsia="Times New Roman" w:cs="Times New Roman"/>
                <w:b/>
                <w:sz w:val="28"/>
                <w:szCs w:val="28"/>
              </w:rPr>
              <w:br/>
              <w:t>Clubul Sportiv Județean</w:t>
            </w:r>
            <w:r w:rsidRPr="00C701F4">
              <w:rPr>
                <w:rFonts w:eastAsia="Times New Roman" w:cs="Times New Roman"/>
                <w:b/>
                <w:sz w:val="28"/>
                <w:szCs w:val="28"/>
              </w:rPr>
              <w:br/>
              <w:t>Vrancea</w:t>
            </w:r>
            <w:r w:rsidRPr="00C701F4">
              <w:rPr>
                <w:rFonts w:eastAsia="Times New Roman" w:cs="Times New Roman"/>
                <w:b/>
                <w:sz w:val="28"/>
                <w:szCs w:val="28"/>
              </w:rPr>
              <w:br/>
            </w:r>
            <w:r w:rsidRPr="00C701F4">
              <w:rPr>
                <w:rFonts w:eastAsia="Times New Roman" w:cs="Times New Roman"/>
                <w:b/>
                <w:sz w:val="28"/>
                <w:szCs w:val="28"/>
              </w:rPr>
              <w:br/>
              <w:t>Nr. ........../................</w:t>
            </w:r>
          </w:p>
        </w:tc>
        <w:tc>
          <w:tcPr>
            <w:tcW w:w="6081" w:type="dxa"/>
            <w:tcMar>
              <w:top w:w="240" w:type="dxa"/>
              <w:left w:w="110" w:type="dxa"/>
              <w:bottom w:w="240" w:type="dxa"/>
              <w:right w:w="110" w:type="dxa"/>
            </w:tcMar>
            <w:vAlign w:val="center"/>
          </w:tcPr>
          <w:p w14:paraId="396A1D77" w14:textId="77777777" w:rsidR="005C0DF5" w:rsidRPr="00C701F4" w:rsidRDefault="00512D0E" w:rsidP="00321567">
            <w:pPr>
              <w:spacing w:after="0" w:line="240" w:lineRule="auto"/>
              <w:jc w:val="center"/>
              <w:rPr>
                <w:sz w:val="28"/>
                <w:szCs w:val="28"/>
              </w:rPr>
            </w:pPr>
            <w:r w:rsidRPr="00C701F4">
              <w:rPr>
                <w:rFonts w:eastAsia="Times New Roman" w:cs="Times New Roman"/>
                <w:b/>
                <w:sz w:val="28"/>
                <w:szCs w:val="28"/>
              </w:rPr>
              <w:t>Aprob,</w:t>
            </w:r>
            <w:r w:rsidRPr="00C701F4">
              <w:rPr>
                <w:rFonts w:eastAsia="Times New Roman" w:cs="Times New Roman"/>
                <w:b/>
                <w:sz w:val="28"/>
                <w:szCs w:val="28"/>
              </w:rPr>
              <w:br/>
              <w:t>Nicușor HALICI</w:t>
            </w:r>
            <w:r w:rsidRPr="00C701F4">
              <w:rPr>
                <w:rFonts w:eastAsia="Times New Roman" w:cs="Times New Roman"/>
                <w:b/>
                <w:sz w:val="28"/>
                <w:szCs w:val="28"/>
              </w:rPr>
              <w:br/>
              <w:t>Președintele Consiliului Județean Vrancea</w:t>
            </w:r>
            <w:r w:rsidRPr="00C701F4">
              <w:rPr>
                <w:rFonts w:eastAsia="Times New Roman" w:cs="Times New Roman"/>
                <w:b/>
                <w:sz w:val="28"/>
                <w:szCs w:val="28"/>
              </w:rPr>
              <w:br/>
              <w:t>........................................</w:t>
            </w:r>
            <w:r w:rsidRPr="00C701F4">
              <w:rPr>
                <w:rFonts w:eastAsia="Times New Roman" w:cs="Times New Roman"/>
                <w:b/>
                <w:sz w:val="28"/>
                <w:szCs w:val="28"/>
              </w:rPr>
              <w:br/>
              <w:t>L.S.</w:t>
            </w:r>
          </w:p>
        </w:tc>
      </w:tr>
    </w:tbl>
    <w:p w14:paraId="0E6AE46F" w14:textId="77777777" w:rsidR="005C0DF5" w:rsidRDefault="005C0DF5">
      <w:pPr>
        <w:spacing w:after="0" w:line="240" w:lineRule="auto"/>
      </w:pPr>
    </w:p>
    <w:p w14:paraId="2FFB794B" w14:textId="77777777" w:rsidR="00A16036" w:rsidRPr="00C701F4" w:rsidRDefault="0044465B">
      <w:pPr>
        <w:pStyle w:val="Titlu"/>
        <w:spacing w:after="280"/>
        <w:rPr>
          <w:rFonts w:ascii="Times New Roman" w:hAnsi="Times New Roman" w:cs="Times New Roman"/>
          <w:szCs w:val="28"/>
          <w:lang w:val="ro-RO"/>
        </w:rPr>
      </w:pPr>
      <w:r w:rsidRPr="00C701F4">
        <w:rPr>
          <w:rFonts w:ascii="Times New Roman" w:eastAsia="Times New Roman" w:hAnsi="Times New Roman" w:cs="Times New Roman"/>
          <w:szCs w:val="28"/>
        </w:rPr>
        <w:t>NOTĂ CONCEPTUALĂ</w:t>
      </w:r>
    </w:p>
    <w:p w14:paraId="5D691034" w14:textId="1CBA7E4A" w:rsidR="00A16036" w:rsidRPr="001D3F3F" w:rsidRDefault="00A16036">
      <w:pPr>
        <w:keepNext/>
        <w:spacing w:after="200"/>
        <w:ind w:firstLine="0"/>
        <w:jc w:val="center"/>
        <w:rPr>
          <w:rFonts w:cs="Times New Roman"/>
          <w:iCs/>
          <w:sz w:val="28"/>
          <w:szCs w:val="28"/>
          <w:lang w:val="ro-RO"/>
        </w:rPr>
      </w:pPr>
    </w:p>
    <w:p w14:paraId="229F928E" w14:textId="77777777" w:rsidR="00A16036" w:rsidRPr="009B3063" w:rsidRDefault="0044465B">
      <w:pPr>
        <w:pStyle w:val="Titlu1"/>
        <w:rPr>
          <w:rFonts w:ascii="Times New Roman" w:hAnsi="Times New Roman" w:cs="Times New Roman"/>
          <w:sz w:val="28"/>
          <w:lang w:val="ro-RO"/>
        </w:rPr>
      </w:pPr>
      <w:r w:rsidRPr="009B3063">
        <w:rPr>
          <w:rFonts w:ascii="Times New Roman" w:hAnsi="Times New Roman" w:cs="Times New Roman"/>
          <w:sz w:val="28"/>
          <w:lang w:val="ro-RO"/>
        </w:rPr>
        <w:t>1. Informații generale privind obiectivul de investiții propus</w:t>
      </w:r>
    </w:p>
    <w:p w14:paraId="5EC60822"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1.1. Denumirea obiectivului de investiții</w:t>
      </w:r>
    </w:p>
    <w:p w14:paraId="6E32E32E" w14:textId="77777777" w:rsidR="00A16036" w:rsidRPr="009B3063" w:rsidRDefault="0044465B">
      <w:pPr>
        <w:ind w:firstLine="0"/>
        <w:jc w:val="left"/>
        <w:rPr>
          <w:rFonts w:cs="Times New Roman"/>
          <w:sz w:val="28"/>
          <w:szCs w:val="28"/>
          <w:lang w:val="ro-RO"/>
        </w:rPr>
      </w:pPr>
      <w:r>
        <w:rPr>
          <w:rFonts w:eastAsia="Times New Roman" w:cs="Times New Roman"/>
          <w:sz w:val="28"/>
          <w:szCs w:val="28"/>
          <w:lang w:val="ro-RO"/>
        </w:rPr>
        <w:t>„Instalație nocturnă pentru 2 terenuri de antrenament”</w:t>
      </w:r>
    </w:p>
    <w:p w14:paraId="31424BF4"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1.2. Ordonator principal de credite/investitor</w:t>
      </w:r>
    </w:p>
    <w:p w14:paraId="5768AD60" w14:textId="77777777" w:rsidR="00A16036" w:rsidRPr="009B3063" w:rsidRDefault="0044465B">
      <w:pPr>
        <w:ind w:firstLine="0"/>
        <w:rPr>
          <w:rFonts w:cs="Times New Roman"/>
          <w:sz w:val="28"/>
          <w:szCs w:val="28"/>
          <w:lang w:val="ro-RO"/>
        </w:rPr>
      </w:pPr>
      <w:r w:rsidRPr="009B3063">
        <w:rPr>
          <w:rFonts w:eastAsia="Times New Roman" w:cs="Times New Roman"/>
          <w:sz w:val="28"/>
          <w:szCs w:val="28"/>
          <w:lang w:val="ro-RO"/>
        </w:rPr>
        <w:t>Ordonator principal de credite: Unitatea Administrativ-Teritorială Județul Vrancea. Investitor: Clubul Sportiv Județean Vrancea, instituție publică de interes județean, aflată în subordinea Consiliului Județean Vrancea.</w:t>
      </w:r>
    </w:p>
    <w:p w14:paraId="65D01EA1"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1.3. Ordonator de credite (secundar/terțiar)</w:t>
      </w:r>
    </w:p>
    <w:p w14:paraId="7C33EFC2" w14:textId="77777777" w:rsidR="00A16036" w:rsidRPr="009B3063" w:rsidRDefault="0044465B">
      <w:pPr>
        <w:ind w:firstLine="0"/>
        <w:rPr>
          <w:rFonts w:cs="Times New Roman"/>
          <w:sz w:val="28"/>
          <w:szCs w:val="28"/>
          <w:lang w:val="ro-RO"/>
        </w:rPr>
      </w:pPr>
      <w:r w:rsidRPr="009B3063">
        <w:rPr>
          <w:rFonts w:eastAsia="Times New Roman" w:cs="Times New Roman"/>
          <w:sz w:val="28"/>
          <w:szCs w:val="28"/>
          <w:lang w:val="ro-RO"/>
        </w:rPr>
        <w:t>Clubul Sportiv Județean Vrancea, prin director, în calitatea stabilită prin actele de organizare și prin bugetul aprobat.</w:t>
      </w:r>
    </w:p>
    <w:p w14:paraId="6F81ED8B"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1.4. Beneficiarul investiției</w:t>
      </w:r>
    </w:p>
    <w:p w14:paraId="6682E84D" w14:textId="77777777" w:rsidR="00A16036" w:rsidRPr="009B3063" w:rsidRDefault="0044465B">
      <w:pPr>
        <w:ind w:firstLine="0"/>
        <w:jc w:val="left"/>
        <w:rPr>
          <w:rFonts w:cs="Times New Roman"/>
          <w:sz w:val="28"/>
          <w:szCs w:val="28"/>
          <w:lang w:val="ro-RO"/>
        </w:rPr>
      </w:pPr>
      <w:r w:rsidRPr="009B3063">
        <w:rPr>
          <w:rFonts w:eastAsia="Times New Roman" w:cs="Times New Roman"/>
          <w:sz w:val="28"/>
          <w:szCs w:val="28"/>
          <w:lang w:val="ro-RO"/>
        </w:rPr>
        <w:t>Clubul Sportiv Județean Vrancea</w:t>
      </w:r>
    </w:p>
    <w:p w14:paraId="4FE06D29" w14:textId="77777777" w:rsidR="00A16036" w:rsidRPr="009B3063" w:rsidRDefault="0044465B">
      <w:pPr>
        <w:pStyle w:val="Titlu1"/>
        <w:rPr>
          <w:rFonts w:ascii="Times New Roman" w:hAnsi="Times New Roman" w:cs="Times New Roman"/>
          <w:sz w:val="28"/>
          <w:lang w:val="ro-RO"/>
        </w:rPr>
      </w:pPr>
      <w:r w:rsidRPr="009B3063">
        <w:rPr>
          <w:rFonts w:ascii="Times New Roman" w:hAnsi="Times New Roman" w:cs="Times New Roman"/>
          <w:sz w:val="28"/>
          <w:lang w:val="ro-RO"/>
        </w:rPr>
        <w:t>2. Necesitatea și oportunitatea obiectivului de investiții propus</w:t>
      </w:r>
    </w:p>
    <w:p w14:paraId="6FC89363"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2.1. Scurtă prezentare privind:</w:t>
      </w:r>
    </w:p>
    <w:p w14:paraId="7CCB2077" w14:textId="77777777" w:rsidR="00A16036" w:rsidRPr="009B3063" w:rsidRDefault="0044465B">
      <w:pPr>
        <w:pStyle w:val="Titlu3"/>
        <w:rPr>
          <w:rFonts w:ascii="Times New Roman" w:hAnsi="Times New Roman" w:cs="Times New Roman"/>
          <w:sz w:val="28"/>
          <w:szCs w:val="28"/>
          <w:lang w:val="ro-RO"/>
        </w:rPr>
      </w:pPr>
      <w:r w:rsidRPr="009B3063">
        <w:rPr>
          <w:rFonts w:ascii="Times New Roman" w:hAnsi="Times New Roman" w:cs="Times New Roman"/>
          <w:sz w:val="28"/>
          <w:szCs w:val="28"/>
          <w:lang w:val="ro-RO"/>
        </w:rPr>
        <w:t>a) Deficiențe ale situației actuale</w:t>
      </w:r>
    </w:p>
    <w:p w14:paraId="17A97DD4" w14:textId="77777777" w:rsidR="00A16036" w:rsidRPr="009B3063" w:rsidRDefault="0044465B">
      <w:pPr>
        <w:rPr>
          <w:rFonts w:cs="Times New Roman"/>
          <w:sz w:val="28"/>
          <w:szCs w:val="28"/>
          <w:lang w:val="ro-RO"/>
        </w:rPr>
      </w:pPr>
      <w:r>
        <w:rPr>
          <w:rFonts w:eastAsia="Times New Roman" w:cs="Times New Roman"/>
          <w:sz w:val="28"/>
          <w:szCs w:val="28"/>
          <w:lang w:val="ro-RO"/>
        </w:rPr>
        <w:t>Cele două terenuri de antrenament din cadrul imobilului Complex sportiv - Stadionul „Milcov” sunt utilizate pentru pregătire sportivă și activități specifice, însă lipsa unui sistem de iluminat sportiv exterior limitează folosirea lor la intervalele în care lumina naturală este suficientă. Limitarea este mai accentuată în sezonul rece și în perioadele cu program sportiv intens.</w:t>
      </w:r>
    </w:p>
    <w:p w14:paraId="5C4CE696"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 xml:space="preserve">La această etapă nu sunt determinate puterea electrică disponibilă, punctul optim de racordare, poziția și numărul stâlpilor, condițiile de fundare, traseele </w:t>
      </w:r>
      <w:r w:rsidRPr="009B3063">
        <w:rPr>
          <w:rFonts w:eastAsia="Times New Roman" w:cs="Times New Roman"/>
          <w:sz w:val="28"/>
          <w:szCs w:val="28"/>
          <w:lang w:val="ro-RO"/>
        </w:rPr>
        <w:lastRenderedPageBreak/>
        <w:t>rețelelor, nivelurile fotometrice și impactul asupra vecinătăților. Aceste elemente trebuie stabilite prin măsurători, studii și calcule de specialitate, fără prestabilirea unei soluții ori a unui producător.</w:t>
      </w:r>
    </w:p>
    <w:p w14:paraId="0D36E7A8" w14:textId="77777777" w:rsidR="00A16036" w:rsidRPr="009B3063" w:rsidRDefault="0044465B">
      <w:pPr>
        <w:pStyle w:val="Titlu3"/>
        <w:rPr>
          <w:rFonts w:ascii="Times New Roman" w:hAnsi="Times New Roman" w:cs="Times New Roman"/>
          <w:sz w:val="28"/>
          <w:szCs w:val="28"/>
          <w:lang w:val="ro-RO"/>
        </w:rPr>
      </w:pPr>
      <w:r w:rsidRPr="009B3063">
        <w:rPr>
          <w:rFonts w:ascii="Times New Roman" w:hAnsi="Times New Roman" w:cs="Times New Roman"/>
          <w:sz w:val="28"/>
          <w:szCs w:val="28"/>
          <w:lang w:val="ro-RO"/>
        </w:rPr>
        <w:t>b) Efectul pozitiv previzionat prin realizarea obiectivului de investiții</w:t>
      </w:r>
    </w:p>
    <w:p w14:paraId="0E61BF5F"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Realizarea unei instalații nocturne unitare va extinde programul de utilizare a terenurilor, va permite distribuirea mai eficientă a antrenamentelor și va crește gradul de valorificare a infrastructurii sportive existente.</w:t>
      </w:r>
    </w:p>
    <w:p w14:paraId="56F760D9"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iluminarea celor două terenuri pentru antrenamente și activități sportive la nivelul stabilit de Club;</w:t>
      </w:r>
    </w:p>
    <w:p w14:paraId="6B4B4DA8"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comandă separată pentru fiecare teren și analizarea funcționării simultane;</w:t>
      </w:r>
    </w:p>
    <w:p w14:paraId="42EF044B"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utilizarea eficientă energetic prin tehnologie LED și regimuri distincte de funcționare;</w:t>
      </w:r>
    </w:p>
    <w:p w14:paraId="66847833" w14:textId="75772DDC"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 xml:space="preserve">creșterea siguranței utilizatorilor </w:t>
      </w:r>
      <w:r w:rsidR="009B3063" w:rsidRPr="009B3063">
        <w:rPr>
          <w:rFonts w:eastAsia="Times New Roman" w:cs="Times New Roman"/>
          <w:sz w:val="28"/>
          <w:szCs w:val="28"/>
          <w:lang w:val="ro-RO"/>
        </w:rPr>
        <w:t xml:space="preserve">și limitarea </w:t>
      </w:r>
      <w:r w:rsidRPr="009B3063">
        <w:rPr>
          <w:rFonts w:eastAsia="Times New Roman" w:cs="Times New Roman"/>
          <w:sz w:val="28"/>
          <w:szCs w:val="28"/>
          <w:lang w:val="ro-RO"/>
        </w:rPr>
        <w:t>luminii intruzive;</w:t>
      </w:r>
    </w:p>
    <w:p w14:paraId="03043D42"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realizarea unei instalații complete, autorizabile și ușor de exploatat.</w:t>
      </w:r>
    </w:p>
    <w:p w14:paraId="54AEC2B3" w14:textId="77777777" w:rsidR="00A16036" w:rsidRPr="009B3063" w:rsidRDefault="0044465B">
      <w:pPr>
        <w:pStyle w:val="Titlu3"/>
        <w:rPr>
          <w:rFonts w:ascii="Times New Roman" w:hAnsi="Times New Roman" w:cs="Times New Roman"/>
          <w:sz w:val="28"/>
          <w:szCs w:val="28"/>
          <w:lang w:val="ro-RO"/>
        </w:rPr>
      </w:pPr>
      <w:r w:rsidRPr="009B3063">
        <w:rPr>
          <w:rFonts w:ascii="Times New Roman" w:hAnsi="Times New Roman" w:cs="Times New Roman"/>
          <w:sz w:val="28"/>
          <w:szCs w:val="28"/>
          <w:lang w:val="ro-RO"/>
        </w:rPr>
        <w:t>c) Impactul negativ previzionat în cazul nerealizării obiectivului de investiții</w:t>
      </w:r>
    </w:p>
    <w:p w14:paraId="4F702FEF"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În lipsa investiției se menține utilizarea exclusiv în intervalele cu lumină naturală suficientă, cu reducerea disponibilității terenurilor, comprimarea programelor de pregătire și valorificarea incompletă a bazei sportive. O soluție incomplet fundamentată ar putea genera, suplimentar, costuri neprevăzute de racordare, performanță fotometrică insuficientă, disconfort pentru vecinătăți sau imposibilitatea punerii în funcțiune.</w:t>
      </w:r>
    </w:p>
    <w:p w14:paraId="1DEBCBAD"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2.2. Prezentarea, după caz, a obiectivelor de investiții cu aceleași funcțiuni sau funcțiuni similare cu obiectivul de investiții propus, existente în zonă, în vederea justificării necesității realizării obiectivului de investiții propus</w:t>
      </w:r>
    </w:p>
    <w:p w14:paraId="79F17C3E"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La nivelul documentelor preliminare nu a fost identificată o instalație existentă care să asigure iluminarea sportivă funcțională a celor două terenuri de antrenament. Studiul de fezabilitate va inventaria instalațiile și sursele de alimentare existente și va utiliza, pentru fundamentarea costurilor și performanței, date din investiții similare verificabile.</w:t>
      </w:r>
    </w:p>
    <w:p w14:paraId="403852E8"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2.3. Existența, după caz, a unei strategii, a unui master plan ori a unor planuri similare, aprobate prin acte normative, în cadrul cărora se poate încadra obiectivul de investiții propus</w:t>
      </w:r>
    </w:p>
    <w:p w14:paraId="4BD155D6"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Investiția se încadrează în direcția de modernizare și utilizare eficientă a infrastructurii sportive județene și este cuprinsă în lista de investiții aferentă bugetului aprobat pentru anul 2026. La promovarea documentației vor fi indicate, după caz, strategiile și documentele programatice județene aplicabile.</w:t>
      </w:r>
    </w:p>
    <w:p w14:paraId="38D6DE7D"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lastRenderedPageBreak/>
        <w:t>2.4. Existența, după caz, a unor acorduri internaționale ale statului care obligă partea română la realizarea obiectivului de investiții</w:t>
      </w:r>
    </w:p>
    <w:p w14:paraId="262242E5"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Nu au fost identificate acorduri internaționale care să oblige în mod direct partea română la realizarea obiectivului. Standardele europene și reglementările sportive aplicabile iluminatului exterior vor fi respectate în funcție de nivelul de utilizare stabilit de beneficiar.</w:t>
      </w:r>
    </w:p>
    <w:p w14:paraId="0B6D0ABC"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2.5. Obiective generale, preconizate a fi atinse prin realizarea investiției</w:t>
      </w:r>
    </w:p>
    <w:p w14:paraId="714182F8"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realizarea iluminatului sportiv exterior pentru două terenuri de antrenament;</w:t>
      </w:r>
    </w:p>
    <w:p w14:paraId="794A5887"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stabilirea unei soluții complete de alimentare, racordare, comandă și protecție;</w:t>
      </w:r>
    </w:p>
    <w:p w14:paraId="34333DBC"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asigurarea nivelurilor de iluminare, uniformitate și control al orbirii corespunzătoare utilizării aprobate;</w:t>
      </w:r>
    </w:p>
    <w:p w14:paraId="2CD43788"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reducerea consumului și a costurilor de exploatare prin soluții eficiente energetic;</w:t>
      </w:r>
    </w:p>
    <w:p w14:paraId="646314E6"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încadrarea întregii investiții în limita de 500.000 lei, inclusiv TVA.</w:t>
      </w:r>
    </w:p>
    <w:p w14:paraId="4825BA1C" w14:textId="77777777" w:rsidR="00A16036" w:rsidRPr="009B3063" w:rsidRDefault="0044465B">
      <w:pPr>
        <w:pStyle w:val="Titlu1"/>
        <w:rPr>
          <w:rFonts w:ascii="Times New Roman" w:hAnsi="Times New Roman" w:cs="Times New Roman"/>
          <w:sz w:val="28"/>
          <w:lang w:val="ro-RO"/>
        </w:rPr>
      </w:pPr>
      <w:r w:rsidRPr="009B3063">
        <w:rPr>
          <w:rFonts w:ascii="Times New Roman" w:hAnsi="Times New Roman" w:cs="Times New Roman"/>
          <w:sz w:val="28"/>
          <w:lang w:val="ro-RO"/>
        </w:rPr>
        <w:t>3. Estimarea suportabilității investiției publice</w:t>
      </w:r>
    </w:p>
    <w:p w14:paraId="6A6195FE"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3.1. Estimarea cheltuielilor pentru execuția obiectivului de investiții, luându-se în considerare, după caz:</w:t>
      </w:r>
    </w:p>
    <w:p w14:paraId="3CC4189A"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costurile unor investiții similare realizate;</w:t>
      </w:r>
    </w:p>
    <w:p w14:paraId="49F091EE"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standarde de cost pentru investiții similare.</w:t>
      </w:r>
    </w:p>
    <w:p w14:paraId="2D1B23F7"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Valoarea aprobată în lista de investiții este de 500.000 lei, inclusiv TVA, și reprezintă limita bugetară preliminară pentru întregul obiectiv. Valoarea trebuie să acopere studiile, proiectarea, avizele, racordarea sau sporul de putere, fundațiile, stâlpii, proiectoarele, cablurile, tablourile, protecțiile, organizarea de șantier, asistența, probele, măsurătorile și punerea în funcțiune. Valoarea totală și valoarea C+M vor fi fundamentate prin studiul de fezabilitate și devizul general.</w:t>
      </w:r>
    </w:p>
    <w:p w14:paraId="053F7FAB"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3.2. Estimarea cheltuielilor pentru proiectarea, pe faze, a documentației tehnico-economice aferente obiectivului de investiție, precum și pentru elaborarea altor studii de specialitate în funcție de specificul obiectivului de investiții, inclusiv cheltuielile necesare pentru obținerea avizelor, autorizațiilor și acordurilor prevăzute de lege</w:t>
      </w:r>
    </w:p>
    <w:p w14:paraId="70117ACA"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Cheltuielile pentru ridicarea topografică, studiul geotehnic, identificarea rețelelor, analiza instalației electrice, calculele fotometrice, certificatul de urbanism nou, avizele, acordurile, studiul de fezabilitate, proiectarea ulterioară, verificarea și asistența tehnică se includ în plafonul aprobat. Valoarea distinctă a serviciilor se stabilește de Club printr-o estimare fundamentată și cercetarea pieței.</w:t>
      </w:r>
    </w:p>
    <w:p w14:paraId="69A09602"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lastRenderedPageBreak/>
        <w:t>3.3. Surse identificate pentru finanțarea cheltuielilor estimate (în cazul finanțării nerambursabile se va menționa programul operațional/axa corespunzătoare, identificată)</w:t>
      </w:r>
    </w:p>
    <w:p w14:paraId="50A7CA07"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Finanțarea este prevăzută în bugetul și lista de investiții ale Clubului Sportiv Județean Vrancea pentru anul 2026, în limita sumei de 500.000 lei, inclusiv TVA. Angajarea și utilizarea creditelor se vor realiza de Club, cu respectarea destinației aprobate, a competențelor proprietarului și a legislației financiar-bugetare și a achizițiilor publice.</w:t>
      </w:r>
    </w:p>
    <w:p w14:paraId="4FFE5FAF" w14:textId="77777777" w:rsidR="00A16036" w:rsidRPr="009B3063" w:rsidRDefault="0044465B">
      <w:pPr>
        <w:pStyle w:val="Titlu1"/>
        <w:rPr>
          <w:rFonts w:ascii="Times New Roman" w:hAnsi="Times New Roman" w:cs="Times New Roman"/>
          <w:sz w:val="28"/>
          <w:lang w:val="ro-RO"/>
        </w:rPr>
      </w:pPr>
      <w:r w:rsidRPr="009B3063">
        <w:rPr>
          <w:rFonts w:ascii="Times New Roman" w:hAnsi="Times New Roman" w:cs="Times New Roman"/>
          <w:sz w:val="28"/>
          <w:lang w:val="ro-RO"/>
        </w:rPr>
        <w:t>4. Informații privind regimul juridic, economic și tehnic al terenului și/sau al construcției existente</w:t>
      </w:r>
    </w:p>
    <w:p w14:paraId="6CA9A10D"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4.1. Regimul juridic</w:t>
      </w:r>
    </w:p>
    <w:p w14:paraId="42945FD1" w14:textId="77777777" w:rsidR="00A16036" w:rsidRPr="009B3063" w:rsidRDefault="0044465B">
      <w:pPr>
        <w:rPr>
          <w:rFonts w:cs="Times New Roman"/>
          <w:sz w:val="28"/>
          <w:szCs w:val="28"/>
          <w:lang w:val="ro-RO"/>
        </w:rPr>
      </w:pPr>
      <w:r>
        <w:rPr>
          <w:rFonts w:eastAsia="Times New Roman" w:cs="Times New Roman"/>
          <w:sz w:val="28"/>
          <w:szCs w:val="28"/>
          <w:lang w:val="ro-RO"/>
        </w:rPr>
        <w:t>Imobilul Complex sportiv - Stadionul „Milcov”, situat în municipiul Focșani, str. Aleea Stadionului nr. 2, aparține domeniului public al Județului Vrancea și este dat în administrarea Clubului Sportiv Județean Vrancea prin H.C.J. Vrancea nr. 80/06.05.2026 și Protocolul de predare-primire din 25.06.2026. Imobilul este identificat prin CF nr. 69345 Focșani și CF nr. 54477 Focșani. Amplasarea exactă a stâlpilor, fundațiilor și traseelor va fi raportată la documentația cadastrală actualizată.</w:t>
      </w:r>
    </w:p>
    <w:p w14:paraId="512CA493"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Investiția se realizează cu acordul expres al Consiliului Județean Vrancea, potrivit actului de administrare, iar bunurile rezultate rămân în proprietatea Județului Vrancea. Dreptul de administrare va fi înscris și dovedit în forma cerută la fiecare etapă legală.</w:t>
      </w:r>
    </w:p>
    <w:p w14:paraId="38B27877"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4.2. Regimul economic</w:t>
      </w:r>
    </w:p>
    <w:p w14:paraId="31C437A3"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Amplasamentul are destinație sportivă. Investiția nu schimbă destinația terenurilor, ci crește intervalul de utilizare și funcționalitatea lor. Condiționările economice și urbanistice vor fi confirmate prin certificatul de urbanism emis pentru obiectiv.</w:t>
      </w:r>
    </w:p>
    <w:p w14:paraId="4F9729DA"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4.3. Regimul tehnic</w:t>
      </w:r>
    </w:p>
    <w:p w14:paraId="752D6E87"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Obiectivul presupune realizarea unei instalații noi de iluminat sportiv exterior, cu fundații și stâlpi, proiectoare LED, rețele electrice, tablouri și comandă, legare la pământ, protecție la supratensiuni și trăsnet, precum și lucrări de racordare și refacere. Starea instalațiilor și rețelelor existente, puterea disponibilă și condițiile de fundare nu sunt confirmate la această etapă.</w:t>
      </w:r>
    </w:p>
    <w:p w14:paraId="6AF6252E" w14:textId="77777777" w:rsidR="00A16036" w:rsidRPr="009B3063" w:rsidRDefault="0044465B">
      <w:pPr>
        <w:pStyle w:val="Titlu1"/>
        <w:rPr>
          <w:rFonts w:ascii="Times New Roman" w:hAnsi="Times New Roman" w:cs="Times New Roman"/>
          <w:sz w:val="28"/>
          <w:lang w:val="ro-RO"/>
        </w:rPr>
      </w:pPr>
      <w:r w:rsidRPr="009B3063">
        <w:rPr>
          <w:rFonts w:ascii="Times New Roman" w:hAnsi="Times New Roman" w:cs="Times New Roman"/>
          <w:sz w:val="28"/>
          <w:lang w:val="ro-RO"/>
        </w:rPr>
        <w:lastRenderedPageBreak/>
        <w:t>5. Particularități ale amplasamentului/amplasamentelor propus(e) pentru realizarea obiectivului de investiții:</w:t>
      </w:r>
    </w:p>
    <w:p w14:paraId="7FFD4487"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a) Descrierea succintă a amplasamentului/amplasamentelor propus(e) (localizare, suprafața terenului, dimensiuni în plan)</w:t>
      </w:r>
    </w:p>
    <w:p w14:paraId="323AE1C2" w14:textId="77777777" w:rsidR="00A16036" w:rsidRPr="009B3063" w:rsidRDefault="0044465B">
      <w:pPr>
        <w:rPr>
          <w:rFonts w:cs="Times New Roman"/>
          <w:sz w:val="28"/>
          <w:szCs w:val="28"/>
          <w:lang w:val="ro-RO"/>
        </w:rPr>
      </w:pPr>
      <w:r>
        <w:rPr>
          <w:rFonts w:eastAsia="Times New Roman" w:cs="Times New Roman"/>
          <w:sz w:val="28"/>
          <w:szCs w:val="28"/>
          <w:lang w:val="ro-RO"/>
        </w:rPr>
        <w:t>Investiția se amplasează în zona celor două terenuri de antrenament din cadrul imobilului Complex sportiv - Stadionul „Milcov”. Dimensiunile suprafețelor de joc, zonele de siguranță și pozițiile posibile ale echipamentelor vor fi determinate prin ridicare topografică și releveu.</w:t>
      </w:r>
    </w:p>
    <w:p w14:paraId="17F3ACEA"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b) Relațiile cu zone învecinate, accesuri existente și/sau căi de acces posibile</w:t>
      </w:r>
    </w:p>
    <w:p w14:paraId="7A3D53E3"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Terenurile sunt învecinate cu circulații, împrejmuiri, amenajări sportive și proprietăți distincte. Soluția va menține accesul sportivilor, al utilajelor de întreținere, al intervențiilor și al platformelor pentru montaj și mentenanță.</w:t>
      </w:r>
    </w:p>
    <w:p w14:paraId="1DC8253A"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c) Surse de poluare existente în zonă</w:t>
      </w:r>
    </w:p>
    <w:p w14:paraId="2248DBFE"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Nu au fost identificate surse speciale de poluare care să împiedice investiția. În execuție vor fi gestionate praful, zgomotul, deșeurile, pământul excavat și ambalajele, iar în exploatare va fi limitată lumina intruzivă.</w:t>
      </w:r>
    </w:p>
    <w:p w14:paraId="602C6268"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d) Particularități de relief</w:t>
      </w:r>
    </w:p>
    <w:p w14:paraId="21C82665"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Amplasamentul este specific unei amenajări sportive predominant plane. Cotele, pantele, zonele cu tasări și posibilitățile de scurgere a apelor vor fi evidențiate topografic și corelate cu fundațiile și traseele.</w:t>
      </w:r>
    </w:p>
    <w:p w14:paraId="1675B8C6"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e) Nivel de echipare tehnico-edilitară a zonei și posibilități de asigurare a utilităților</w:t>
      </w:r>
    </w:p>
    <w:p w14:paraId="3D3E53BB" w14:textId="77777777" w:rsidR="00A16036" w:rsidRPr="009B3063" w:rsidRDefault="0044465B">
      <w:pPr>
        <w:rPr>
          <w:rFonts w:cs="Times New Roman"/>
          <w:sz w:val="28"/>
          <w:szCs w:val="28"/>
          <w:lang w:val="ro-RO"/>
        </w:rPr>
      </w:pPr>
      <w:r>
        <w:rPr>
          <w:rFonts w:eastAsia="Times New Roman" w:cs="Times New Roman"/>
          <w:sz w:val="28"/>
          <w:szCs w:val="28"/>
          <w:lang w:val="ro-RO"/>
        </w:rPr>
        <w:t>Imobilul Complex sportiv - Stadionul „Milcov” dispune de instalații electrice, însă puterea aprobată, capacitatea rețelelor și punctul de racordare trebuie verificate. Studiul de fezabilitate va stabili dacă este necesar un spor de putere, un racord nou ori extinderea rețelei.</w:t>
      </w:r>
    </w:p>
    <w:p w14:paraId="1B1EF192"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f) Existența unor eventuale rețele edilitare în amplasament care ar necesita relocare/protejare, în măsura în care pot fi identificate</w:t>
      </w:r>
    </w:p>
    <w:p w14:paraId="0D263034"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Rețelele electrice, de apă-canal, comunicații și celelalte instalații vor fi inventariate din planurile deținătorilor și verificate în teren. Stâlpii, fundațiile și cablurile vor evita interferențele ori vor include măsurile avizate de protejare sau relocare.</w:t>
      </w:r>
    </w:p>
    <w:p w14:paraId="0D13FD48"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g) Posibile obligații de servitute</w:t>
      </w:r>
    </w:p>
    <w:p w14:paraId="52E86415"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Vor fi verificate sarcinile din cărțile funciare, inclusiv drepturile de servitute în favoarea operatorului de distribuție, precum și accesul comun și eventualele zone de protecție.</w:t>
      </w:r>
    </w:p>
    <w:p w14:paraId="38546AEC"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lastRenderedPageBreak/>
        <w:t>h) Condiționări constructive determinate de starea tehnică și de sistemul constructiv al unor construcții existente în amplasament, asupra cărora se vor face lucrări de intervenții, după caz</w:t>
      </w:r>
    </w:p>
    <w:p w14:paraId="1996ABCA"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Soluția va fi corelată cu terenurile, împrejmuirile, căile de acces, rețelele și tablourile existente. Conectarea la instalații existente se va face numai după diagnosticarea și confirmarea capacității și siguranței acestora.</w:t>
      </w:r>
    </w:p>
    <w:p w14:paraId="444925DF"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i) Reglementări urbanistice aplicabile zonei conform documentațiilor de urbanism aprobate – plan urbanistic general/plan urbanistic zonal și regulamentul local de urbanism aferent</w:t>
      </w:r>
    </w:p>
    <w:p w14:paraId="453EAC69"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Se va obține un certificat de urbanism nou pentru obiectiv. Proiectantul va respecta reglementările urbanistice și va elabora, depune și urmări, în numele Clubului și în baza mandatului, documentațiile pentru toate avizele și acordurile indicate.</w:t>
      </w:r>
    </w:p>
    <w:p w14:paraId="10690E2A"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j) Existența de monumente istorice/de arhitectură sau situri arheologice pe amplasament sau în zona imediat învecinată; existența condiționărilor specifice în cazul existenței unor zone protejate</w:t>
      </w:r>
    </w:p>
    <w:p w14:paraId="295128D1"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Din documentele analizate nu rezultă o clasare individuală a terenurilor. Situația față de zone protejate sau situri arheologice va fi confirmată prin certificatul de urbanism și avizele autorităților competente.</w:t>
      </w:r>
    </w:p>
    <w:p w14:paraId="29979F50" w14:textId="77777777" w:rsidR="00A16036" w:rsidRPr="009B3063" w:rsidRDefault="0044465B">
      <w:pPr>
        <w:pStyle w:val="Titlu1"/>
        <w:rPr>
          <w:rFonts w:ascii="Times New Roman" w:hAnsi="Times New Roman" w:cs="Times New Roman"/>
          <w:sz w:val="28"/>
          <w:lang w:val="ro-RO"/>
        </w:rPr>
      </w:pPr>
      <w:r w:rsidRPr="009B3063">
        <w:rPr>
          <w:rFonts w:ascii="Times New Roman" w:hAnsi="Times New Roman" w:cs="Times New Roman"/>
          <w:sz w:val="28"/>
          <w:lang w:val="ro-RO"/>
        </w:rPr>
        <w:t>6. Descrierea succintă a obiectivului de investiții propus, din punct de vedere tehnic și funcțional:</w:t>
      </w:r>
    </w:p>
    <w:p w14:paraId="38C77B2F"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a) Destinație și funcțiuni</w:t>
      </w:r>
    </w:p>
    <w:p w14:paraId="57CD799D"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Obiectivul are destinația de iluminat sportiv exterior pentru antrenamente, activități sportive și, dacă nivelul este aprobat de Club, competiții locale fără transmisie de televiziune, pe cele două terenuri de antrenament.</w:t>
      </w:r>
    </w:p>
    <w:p w14:paraId="00BF5714"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b) Caracteristici, parametri și date tehnice specifice, preconizate</w:t>
      </w:r>
    </w:p>
    <w:p w14:paraId="477C41FA"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Investiția va cuprinde soluția completă de iluminat, structuri și fundații, proiectoare LED, rețele și tablouri, comandă separată, protecții electrice, legare la pământ, protecție la trăsnet, racordare și refaceri. Numărul și înălțimea stâlpilor, puterea, clasa de iluminat și nivelurile fotometrice nu se prestabilesc și vor fi fundamentate prin studiul de fezabilitate.</w:t>
      </w:r>
    </w:p>
    <w:p w14:paraId="04FBF801"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c) Durata minimă de funcționare apreciată corespunzător destinației/funcțiunilor propuse</w:t>
      </w:r>
    </w:p>
    <w:p w14:paraId="5165F7AF"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Durata de funcționare va fi stabilită pe componente prin studiul de fezabilitate, potrivit reglementărilor tehnice, duratelor normale, garanțiilor și programului de mentenanță. Soluția va permite înlocuirea și reglarea echipamentelor fără intervenții disproporționate asupra întregului sistem.</w:t>
      </w:r>
    </w:p>
    <w:p w14:paraId="4FDBCCB0"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lastRenderedPageBreak/>
        <w:t>d) Nevoi/solicitări funcționale specifice</w:t>
      </w:r>
    </w:p>
    <w:p w14:paraId="3E486D28"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comandă independentă pentru fiecare teren și funcționare simultană analizată;</w:t>
      </w:r>
    </w:p>
    <w:p w14:paraId="7B905C9D"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minimum un regim economic și un regim complet, dacă soluția și bugetul permit;</w:t>
      </w:r>
    </w:p>
    <w:p w14:paraId="6C3DDF01"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iluminare uniformă, limitarea orbirii, pâlpâirii și luminii intruzive;</w:t>
      </w:r>
    </w:p>
    <w:p w14:paraId="1CA11FD4"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acces sigur pentru montaj, reglaj și mentenanță;</w:t>
      </w:r>
    </w:p>
    <w:p w14:paraId="6C4EC23C"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măsurători electrice, PRAM și fotometrice la punerea în funcțiune;</w:t>
      </w:r>
    </w:p>
    <w:p w14:paraId="247E56CF" w14:textId="77777777" w:rsidR="00A16036" w:rsidRPr="009B3063" w:rsidRDefault="0044465B">
      <w:pPr>
        <w:pStyle w:val="Listcumarcatori"/>
        <w:keepLines/>
        <w:rPr>
          <w:rFonts w:cs="Times New Roman"/>
          <w:sz w:val="28"/>
          <w:szCs w:val="28"/>
          <w:lang w:val="ro-RO"/>
        </w:rPr>
      </w:pPr>
      <w:r w:rsidRPr="009B3063">
        <w:rPr>
          <w:rFonts w:eastAsia="Times New Roman" w:cs="Times New Roman"/>
          <w:sz w:val="28"/>
          <w:szCs w:val="28"/>
          <w:lang w:val="ro-RO"/>
        </w:rPr>
        <w:t>documentație as-built, instrucțiuni de exploatare și plan de mentenanță.</w:t>
      </w:r>
    </w:p>
    <w:p w14:paraId="1DD502F7" w14:textId="77777777" w:rsidR="00A16036" w:rsidRPr="009B3063" w:rsidRDefault="0044465B">
      <w:pPr>
        <w:pStyle w:val="Titlu1"/>
        <w:rPr>
          <w:rFonts w:ascii="Times New Roman" w:hAnsi="Times New Roman" w:cs="Times New Roman"/>
          <w:sz w:val="28"/>
          <w:lang w:val="ro-RO"/>
        </w:rPr>
      </w:pPr>
      <w:r w:rsidRPr="009B3063">
        <w:rPr>
          <w:rFonts w:ascii="Times New Roman" w:hAnsi="Times New Roman" w:cs="Times New Roman"/>
          <w:sz w:val="28"/>
          <w:lang w:val="ro-RO"/>
        </w:rPr>
        <w:t>7. Justificarea necesității elaborării, după caz, a:</w:t>
      </w:r>
    </w:p>
    <w:p w14:paraId="0FDF8750"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 studiului de prefezabilitate, în cazul obiectivelor/proiectelor majore de investiții</w:t>
      </w:r>
    </w:p>
    <w:p w14:paraId="0D56C9C7"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Elaborarea unui studiu de prefezabilitate nu se justifică, întrucât obiectivul nu reprezintă un proiect major de investiții, iar necesitatea, amplasamentul general și limita bugetară sunt identificate.</w:t>
      </w:r>
    </w:p>
    <w:p w14:paraId="5587963B"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 expertizei tehnice și, după caz, a auditului energetic ori a altor studii de specialitate, audituri sau analize relevante, inclusiv analiza diagnostic, în cazul intervențiilor la construcții existente</w:t>
      </w:r>
    </w:p>
    <w:p w14:paraId="4D9B4573"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Sunt necesare ridicarea topografică, studiul geotehnic, inventarierea rețelelor, analiza/diagnoza instalației electrice existente, calculul fotometric și analiza racordării. Expertiza tehnică va fi elaborată pentru elementele existente numai dacă natura intervenției sau proiectantul o justifică. Auditul energetic al unei clădiri nu este aplicabil obiectului principal.</w:t>
      </w:r>
    </w:p>
    <w:p w14:paraId="58C43BD2" w14:textId="77777777" w:rsidR="00A16036" w:rsidRPr="009B3063" w:rsidRDefault="0044465B">
      <w:pPr>
        <w:pStyle w:val="Titlu2"/>
        <w:rPr>
          <w:rFonts w:ascii="Times New Roman" w:hAnsi="Times New Roman" w:cs="Times New Roman"/>
          <w:sz w:val="28"/>
          <w:szCs w:val="28"/>
          <w:lang w:val="ro-RO"/>
        </w:rPr>
      </w:pPr>
      <w:r w:rsidRPr="009B3063">
        <w:rPr>
          <w:rFonts w:ascii="Times New Roman" w:hAnsi="Times New Roman" w:cs="Times New Roman"/>
          <w:sz w:val="28"/>
          <w:szCs w:val="28"/>
          <w:lang w:val="ro-RO"/>
        </w:rPr>
        <w:t>– unui studiu de fundamentare a valorii resursei culturale referitoare la restricțiile și permisivitățile asociate cu obiectivul de investiții, în cazul intervențiilor pe monumente istorice sau în zone protejate</w:t>
      </w:r>
    </w:p>
    <w:p w14:paraId="7B37C878"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La această etapă nu rezultă necesitatea unui studiu privind resursa culturală. Necesitatea va fi verificată prin certificatul de urbanism și avize, iar studiul va fi elaborat dacă amplasamentul sau autoritățile competente îl impun.</w:t>
      </w:r>
    </w:p>
    <w:p w14:paraId="261293FD"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Obiectivul reprezintă o investiție nouă; documentația tehnico-economică necesară pentru fundamentarea soluției este studiul de fezabilitate (SF), elaborat și aprobat în condițiile H.G. nr. 907/2016. SF va analiza scenarii/opțiuni, va include certificatul de urbanism și avizele, va stabili indicatorii tehnico-economici și devizul general și va recomanda soluția optimă.</w:t>
      </w:r>
    </w:p>
    <w:p w14:paraId="31C41612" w14:textId="77777777" w:rsidR="00A16036" w:rsidRPr="009B3063" w:rsidRDefault="0044465B">
      <w:pPr>
        <w:rPr>
          <w:rFonts w:cs="Times New Roman"/>
          <w:sz w:val="28"/>
          <w:szCs w:val="28"/>
          <w:lang w:val="ro-RO"/>
        </w:rPr>
      </w:pPr>
      <w:r w:rsidRPr="009B3063">
        <w:rPr>
          <w:rFonts w:eastAsia="Times New Roman" w:cs="Times New Roman"/>
          <w:sz w:val="28"/>
          <w:szCs w:val="28"/>
          <w:lang w:val="ro-RO"/>
        </w:rPr>
        <w:t xml:space="preserve">După aprobarea SF și a indicatorilor tehnico-economici, Clubul va putea iniția achiziția pentru proiectare și execuție. Procedura va fi stabilită pe baza valorii estimate fără TVA, prin raportare la întregul obiect al contractului și fără fragmentare artificială. Proiectantul va pregăti și urmări documentațiile pentru </w:t>
      </w:r>
      <w:r w:rsidRPr="009B3063">
        <w:rPr>
          <w:rFonts w:eastAsia="Times New Roman" w:cs="Times New Roman"/>
          <w:sz w:val="28"/>
          <w:szCs w:val="28"/>
          <w:lang w:val="ro-RO"/>
        </w:rPr>
        <w:lastRenderedPageBreak/>
        <w:t>certificatul de urbanism, avize, acorduri și autorizație, în baza mandatului Clubului; actele și semnăturile care aparțin legal beneficiarului sau proprietarului vor fi emise de Club ori de Consiliul Județean Vrancea, după caz.</w:t>
      </w:r>
    </w:p>
    <w:p w14:paraId="35CA3903" w14:textId="77777777" w:rsidR="005C0DF5" w:rsidRPr="00C701F4" w:rsidRDefault="00512D0E">
      <w:pPr>
        <w:spacing w:before="360" w:after="0" w:line="240" w:lineRule="auto"/>
        <w:jc w:val="left"/>
        <w:rPr>
          <w:sz w:val="28"/>
          <w:szCs w:val="28"/>
        </w:rPr>
      </w:pPr>
      <w:r w:rsidRPr="00C701F4">
        <w:rPr>
          <w:rFonts w:eastAsia="Times New Roman" w:cs="Times New Roman"/>
          <w:b/>
          <w:sz w:val="28"/>
          <w:szCs w:val="28"/>
        </w:rPr>
        <w:t>Beneficiar:  Clubul Sportiv Județean Vrancea</w:t>
      </w:r>
    </w:p>
    <w:p w14:paraId="29F9F4E5" w14:textId="77777777" w:rsidR="005C0DF5" w:rsidRPr="00C701F4" w:rsidRDefault="00512D0E">
      <w:pPr>
        <w:spacing w:after="0" w:line="240" w:lineRule="auto"/>
        <w:jc w:val="left"/>
        <w:rPr>
          <w:sz w:val="28"/>
          <w:szCs w:val="28"/>
        </w:rPr>
      </w:pPr>
      <w:r w:rsidRPr="00C701F4">
        <w:rPr>
          <w:rFonts w:eastAsia="Times New Roman" w:cs="Times New Roman"/>
          <w:sz w:val="28"/>
          <w:szCs w:val="28"/>
        </w:rPr>
        <w:t xml:space="preserve">             prin</w:t>
      </w:r>
    </w:p>
    <w:p w14:paraId="7534AFA2" w14:textId="77777777" w:rsidR="005C0DF5" w:rsidRPr="00C701F4" w:rsidRDefault="00512D0E">
      <w:pPr>
        <w:spacing w:after="240" w:line="240" w:lineRule="auto"/>
        <w:jc w:val="left"/>
        <w:rPr>
          <w:sz w:val="28"/>
          <w:szCs w:val="28"/>
        </w:rPr>
      </w:pPr>
      <w:r w:rsidRPr="00C701F4">
        <w:rPr>
          <w:rFonts w:eastAsia="Times New Roman" w:cs="Times New Roman"/>
          <w:sz w:val="28"/>
          <w:szCs w:val="28"/>
        </w:rPr>
        <w:t>Responsabil: Ștefan Georgescu – Director</w:t>
      </w:r>
    </w:p>
    <w:p w14:paraId="0142CDC5" w14:textId="77777777" w:rsidR="005C0DF5" w:rsidRPr="00C701F4" w:rsidRDefault="00512D0E">
      <w:pPr>
        <w:spacing w:after="0" w:line="240" w:lineRule="auto"/>
        <w:jc w:val="left"/>
        <w:rPr>
          <w:sz w:val="28"/>
          <w:szCs w:val="28"/>
        </w:rPr>
      </w:pPr>
      <w:r w:rsidRPr="00C701F4">
        <w:rPr>
          <w:rFonts w:eastAsia="Times New Roman" w:cs="Times New Roman"/>
          <w:sz w:val="28"/>
          <w:szCs w:val="28"/>
        </w:rPr>
        <w:t>Întocmit: Beneficiar:  Responsabil: Ștefan Georgescu – Director</w:t>
      </w:r>
    </w:p>
    <w:p w14:paraId="7ADCB20A" w14:textId="7777CE56" w:rsidR="005C0DF5" w:rsidRPr="00C701F4" w:rsidRDefault="00C64B52" w:rsidP="00C64B52">
      <w:pPr>
        <w:spacing w:after="440" w:line="240" w:lineRule="auto"/>
        <w:ind w:firstLine="0"/>
        <w:jc w:val="left"/>
        <w:rPr>
          <w:sz w:val="28"/>
          <w:szCs w:val="28"/>
        </w:rPr>
      </w:pPr>
      <w:r>
        <w:rPr>
          <w:rFonts w:eastAsia="Times New Roman" w:cs="Times New Roman"/>
          <w:sz w:val="28"/>
          <w:szCs w:val="28"/>
        </w:rPr>
        <w:t xml:space="preserve">         </w:t>
      </w:r>
      <w:r w:rsidR="00512D0E" w:rsidRPr="00C701F4">
        <w:rPr>
          <w:rFonts w:eastAsia="Times New Roman" w:cs="Times New Roman"/>
          <w:sz w:val="28"/>
          <w:szCs w:val="28"/>
        </w:rPr>
        <w:t xml:space="preserve"> </w:t>
      </w:r>
      <w:r w:rsidR="00A93E55">
        <w:rPr>
          <w:rFonts w:eastAsia="Times New Roman" w:cs="Times New Roman"/>
          <w:sz w:val="28"/>
          <w:szCs w:val="28"/>
        </w:rPr>
        <w:t xml:space="preserve">Inspector de </w:t>
      </w:r>
      <w:proofErr w:type="spellStart"/>
      <w:r w:rsidR="00A93E55">
        <w:rPr>
          <w:rFonts w:eastAsia="Times New Roman" w:cs="Times New Roman"/>
          <w:sz w:val="28"/>
          <w:szCs w:val="28"/>
        </w:rPr>
        <w:t>specialitate</w:t>
      </w:r>
      <w:proofErr w:type="spellEnd"/>
      <w:r w:rsidR="00F70275">
        <w:rPr>
          <w:rFonts w:eastAsia="Times New Roman" w:cs="Times New Roman"/>
          <w:sz w:val="28"/>
          <w:szCs w:val="28"/>
        </w:rPr>
        <w:t xml:space="preserve"> </w:t>
      </w:r>
      <w:proofErr w:type="spellStart"/>
      <w:r w:rsidR="00F70275">
        <w:rPr>
          <w:rFonts w:eastAsia="Times New Roman" w:cs="Times New Roman"/>
          <w:sz w:val="28"/>
          <w:szCs w:val="28"/>
        </w:rPr>
        <w:t>compartiment</w:t>
      </w:r>
      <w:proofErr w:type="spellEnd"/>
      <w:r w:rsidR="00F70275">
        <w:rPr>
          <w:rFonts w:eastAsia="Times New Roman" w:cs="Times New Roman"/>
          <w:sz w:val="28"/>
          <w:szCs w:val="28"/>
        </w:rPr>
        <w:t xml:space="preserve"> </w:t>
      </w:r>
      <w:proofErr w:type="spellStart"/>
      <w:r w:rsidR="00F70275">
        <w:rPr>
          <w:rFonts w:eastAsia="Times New Roman" w:cs="Times New Roman"/>
          <w:sz w:val="28"/>
          <w:szCs w:val="28"/>
        </w:rPr>
        <w:t>financiar-contabil</w:t>
      </w:r>
      <w:proofErr w:type="spellEnd"/>
      <w:r w:rsidR="00512D0E" w:rsidRPr="00C701F4">
        <w:rPr>
          <w:rFonts w:eastAsia="Times New Roman" w:cs="Times New Roman"/>
          <w:sz w:val="28"/>
          <w:szCs w:val="28"/>
        </w:rPr>
        <w:t>:</w:t>
      </w:r>
      <w:r w:rsidR="00F70275">
        <w:rPr>
          <w:rFonts w:eastAsia="Times New Roman" w:cs="Times New Roman"/>
          <w:sz w:val="28"/>
          <w:szCs w:val="28"/>
        </w:rPr>
        <w:t xml:space="preserve"> Stănescu Ionuț</w:t>
      </w:r>
    </w:p>
    <w:p w14:paraId="3AD47964" w14:textId="77777777" w:rsidR="00C64B52" w:rsidRDefault="00C64B52" w:rsidP="00BB78B5">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p>
    <w:p w14:paraId="699B4BB5" w14:textId="4A33A883" w:rsidR="00BB78B5" w:rsidRPr="00BB78B5" w:rsidRDefault="00BB78B5" w:rsidP="00BB78B5">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Președintele</w:t>
      </w:r>
    </w:p>
    <w:p w14:paraId="05B44A21" w14:textId="77777777" w:rsidR="00BB78B5" w:rsidRPr="00BB78B5" w:rsidRDefault="00BB78B5" w:rsidP="00BB78B5">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Consiliului Județean Vrancea</w:t>
      </w:r>
    </w:p>
    <w:p w14:paraId="708C92A0" w14:textId="77777777" w:rsidR="00BB78B5" w:rsidRPr="00BB78B5" w:rsidRDefault="00BB78B5" w:rsidP="00BB78B5">
      <w:pPr>
        <w:widowControl w:val="0"/>
        <w:kinsoku w:val="0"/>
        <w:overflowPunct w:val="0"/>
        <w:spacing w:after="0" w:line="240" w:lineRule="auto"/>
        <w:ind w:left="142" w:right="-261" w:firstLine="0"/>
        <w:jc w:val="center"/>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Nicușor HALICI</w:t>
      </w:r>
    </w:p>
    <w:p w14:paraId="5BE1FEA2" w14:textId="77777777" w:rsidR="00BB78B5" w:rsidRPr="00BB78B5" w:rsidRDefault="00BB78B5" w:rsidP="00BB78B5">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07F26618" w14:textId="77777777" w:rsidR="00BB78B5" w:rsidRPr="00BB78B5" w:rsidRDefault="00BB78B5" w:rsidP="00BB78B5">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79436701" w14:textId="77777777" w:rsidR="00BB78B5" w:rsidRPr="00BB78B5" w:rsidRDefault="00BB78B5" w:rsidP="00BB78B5">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29D38BB9" w14:textId="77777777" w:rsidR="00BB78B5" w:rsidRPr="00BB78B5" w:rsidRDefault="00BB78B5" w:rsidP="00BB78B5">
      <w:pPr>
        <w:widowControl w:val="0"/>
        <w:kinsoku w:val="0"/>
        <w:overflowPunct w:val="0"/>
        <w:spacing w:after="0" w:line="240" w:lineRule="auto"/>
        <w:ind w:right="-261" w:firstLine="0"/>
        <w:textAlignment w:val="baseline"/>
        <w:rPr>
          <w:rFonts w:eastAsia="Times New Roman" w:cs="Times New Roman"/>
          <w:b/>
          <w:bCs/>
          <w:color w:val="auto"/>
          <w:sz w:val="28"/>
          <w:szCs w:val="28"/>
          <w:lang w:val="ro-RO" w:eastAsia="en-GB"/>
        </w:rPr>
      </w:pPr>
    </w:p>
    <w:p w14:paraId="33A40383" w14:textId="0EF63E7B" w:rsidR="00BB78B5" w:rsidRPr="00BB78B5" w:rsidRDefault="00C64B52" w:rsidP="00BB78B5">
      <w:pPr>
        <w:widowControl w:val="0"/>
        <w:kinsoku w:val="0"/>
        <w:overflowPunct w:val="0"/>
        <w:spacing w:after="0" w:line="240" w:lineRule="auto"/>
        <w:ind w:left="5040" w:right="-261" w:firstLine="0"/>
        <w:jc w:val="center"/>
        <w:textAlignment w:val="baseline"/>
        <w:rPr>
          <w:rFonts w:eastAsia="Times New Roman" w:cs="Times New Roman"/>
          <w:b/>
          <w:bCs/>
          <w:color w:val="auto"/>
          <w:sz w:val="28"/>
          <w:szCs w:val="28"/>
          <w:lang w:val="ro-RO" w:eastAsia="en-GB"/>
        </w:rPr>
      </w:pPr>
      <w:r>
        <w:rPr>
          <w:rFonts w:eastAsia="Times New Roman" w:cs="Times New Roman"/>
          <w:b/>
          <w:bCs/>
          <w:color w:val="auto"/>
          <w:sz w:val="28"/>
          <w:szCs w:val="28"/>
          <w:lang w:val="ro-RO" w:eastAsia="en-GB"/>
        </w:rPr>
        <w:t xml:space="preserve">         </w:t>
      </w:r>
      <w:r w:rsidR="00BB78B5" w:rsidRPr="00BB78B5">
        <w:rPr>
          <w:rFonts w:eastAsia="Times New Roman" w:cs="Times New Roman"/>
          <w:b/>
          <w:bCs/>
          <w:color w:val="auto"/>
          <w:sz w:val="28"/>
          <w:szCs w:val="28"/>
          <w:lang w:val="ro-RO" w:eastAsia="en-GB"/>
        </w:rPr>
        <w:t xml:space="preserve">   </w:t>
      </w:r>
      <w:r>
        <w:rPr>
          <w:rFonts w:eastAsia="Times New Roman" w:cs="Times New Roman"/>
          <w:b/>
          <w:bCs/>
          <w:color w:val="auto"/>
          <w:sz w:val="28"/>
          <w:szCs w:val="28"/>
          <w:lang w:val="ro-RO" w:eastAsia="en-GB"/>
        </w:rPr>
        <w:t xml:space="preserve">Contrasemnează, </w:t>
      </w:r>
    </w:p>
    <w:p w14:paraId="3627811F" w14:textId="77777777" w:rsidR="00BB78B5" w:rsidRPr="00BB78B5" w:rsidRDefault="00BB78B5" w:rsidP="00BB78B5">
      <w:pPr>
        <w:widowControl w:val="0"/>
        <w:kinsoku w:val="0"/>
        <w:overflowPunct w:val="0"/>
        <w:spacing w:after="0" w:line="240" w:lineRule="auto"/>
        <w:ind w:left="5310" w:right="-261" w:firstLine="450"/>
        <w:jc w:val="left"/>
        <w:textAlignment w:val="baseline"/>
        <w:rPr>
          <w:rFonts w:eastAsia="Times New Roman" w:cs="Times New Roman"/>
          <w:b/>
          <w:bCs/>
          <w:color w:val="auto"/>
          <w:sz w:val="28"/>
          <w:szCs w:val="28"/>
          <w:lang w:val="ro-RO" w:eastAsia="en-GB"/>
        </w:rPr>
      </w:pPr>
      <w:r w:rsidRPr="00BB78B5">
        <w:rPr>
          <w:rFonts w:eastAsia="Times New Roman" w:cs="Times New Roman"/>
          <w:b/>
          <w:bCs/>
          <w:color w:val="auto"/>
          <w:sz w:val="28"/>
          <w:szCs w:val="28"/>
          <w:lang w:val="ro-RO" w:eastAsia="en-GB"/>
        </w:rPr>
        <w:t xml:space="preserve">     Secretar general al județului                          </w:t>
      </w:r>
    </w:p>
    <w:p w14:paraId="24915582" w14:textId="77777777" w:rsidR="00BB78B5" w:rsidRPr="00BB78B5" w:rsidRDefault="00BB78B5" w:rsidP="00BB78B5">
      <w:pPr>
        <w:spacing w:after="0" w:line="240" w:lineRule="auto"/>
        <w:ind w:firstLine="0"/>
        <w:rPr>
          <w:rFonts w:eastAsia="Times New Roman" w:cs="Times New Roman"/>
          <w:color w:val="auto"/>
          <w:sz w:val="28"/>
        </w:rPr>
      </w:pPr>
      <w:r w:rsidRPr="00BB78B5">
        <w:rPr>
          <w:rFonts w:eastAsia="Times New Roman" w:cs="Times New Roman"/>
          <w:b/>
          <w:bCs/>
          <w:color w:val="auto"/>
          <w:sz w:val="28"/>
          <w:szCs w:val="28"/>
          <w:lang w:val="ro-RO" w:eastAsia="en-GB"/>
        </w:rPr>
        <w:t xml:space="preserve">                                                                                                    Raluca Dan        </w:t>
      </w:r>
    </w:p>
    <w:p w14:paraId="49C3820D" w14:textId="51EF6FA7" w:rsidR="005C0DF5" w:rsidRDefault="005C0DF5" w:rsidP="00BB78B5">
      <w:pPr>
        <w:spacing w:before="160" w:after="640" w:line="240" w:lineRule="auto"/>
        <w:jc w:val="center"/>
      </w:pPr>
    </w:p>
    <w:sectPr w:rsidR="005C0DF5" w:rsidSect="00034616">
      <w:footerReference w:type="default" r:id="rId8"/>
      <w:pgSz w:w="11906" w:h="16838"/>
      <w:pgMar w:top="1134" w:right="1134" w:bottom="1134" w:left="1417"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F6020" w14:textId="77777777" w:rsidR="00AE1101" w:rsidRDefault="00AE1101">
      <w:pPr>
        <w:spacing w:after="0" w:line="240" w:lineRule="auto"/>
      </w:pPr>
      <w:r>
        <w:separator/>
      </w:r>
    </w:p>
  </w:endnote>
  <w:endnote w:type="continuationSeparator" w:id="0">
    <w:p w14:paraId="528AC2F8" w14:textId="77777777" w:rsidR="00AE1101" w:rsidRDefault="00AE1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41269" w14:textId="77777777" w:rsidR="005C0DF5" w:rsidRPr="00277B72" w:rsidRDefault="00512D0E">
    <w:pPr>
      <w:spacing w:after="0" w:line="240" w:lineRule="auto"/>
      <w:jc w:val="center"/>
      <w:rPr>
        <w:sz w:val="28"/>
        <w:szCs w:val="28"/>
      </w:rPr>
    </w:pPr>
    <w:r w:rsidRPr="00277B72">
      <w:rPr>
        <w:rFonts w:eastAsia="Times New Roman" w:cs="Times New Roman"/>
        <w:sz w:val="28"/>
        <w:szCs w:val="28"/>
      </w:rPr>
      <w:fldChar w:fldCharType="begin"/>
    </w:r>
    <w:r w:rsidRPr="00277B72">
      <w:rPr>
        <w:rFonts w:eastAsia="Times New Roman" w:cs="Times New Roman"/>
        <w:sz w:val="28"/>
        <w:szCs w:val="28"/>
      </w:rPr>
      <w:instrText xml:space="preserve"> PAGE </w:instrText>
    </w:r>
    <w:r w:rsidRPr="00277B72">
      <w:rPr>
        <w:rFonts w:eastAsia="Times New Roman" w:cs="Times New Roman"/>
        <w:sz w:val="28"/>
        <w:szCs w:val="28"/>
      </w:rPr>
      <w:fldChar w:fldCharType="separate"/>
    </w:r>
    <w:r w:rsidRPr="00277B72">
      <w:rPr>
        <w:rFonts w:eastAsia="Times New Roman" w:cs="Times New Roman"/>
        <w:sz w:val="28"/>
        <w:szCs w:val="28"/>
      </w:rPr>
      <w:t>1</w:t>
    </w:r>
    <w:r w:rsidRPr="00277B72">
      <w:rPr>
        <w:rFonts w:eastAsia="Times New Roman" w:cs="Times New Roman"/>
        <w:sz w:val="28"/>
        <w:szCs w:val="2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3EC75" w14:textId="77777777" w:rsidR="00AE1101" w:rsidRDefault="00AE1101">
      <w:pPr>
        <w:spacing w:after="0" w:line="240" w:lineRule="auto"/>
      </w:pPr>
      <w:r>
        <w:separator/>
      </w:r>
    </w:p>
  </w:footnote>
  <w:footnote w:type="continuationSeparator" w:id="0">
    <w:p w14:paraId="40247D0A" w14:textId="77777777" w:rsidR="00AE1101" w:rsidRDefault="00AE11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220288947">
    <w:abstractNumId w:val="8"/>
  </w:num>
  <w:num w:numId="2" w16cid:durableId="879318043">
    <w:abstractNumId w:val="6"/>
  </w:num>
  <w:num w:numId="3" w16cid:durableId="1734154244">
    <w:abstractNumId w:val="5"/>
  </w:num>
  <w:num w:numId="4" w16cid:durableId="1044714583">
    <w:abstractNumId w:val="4"/>
  </w:num>
  <w:num w:numId="5" w16cid:durableId="1083989020">
    <w:abstractNumId w:val="7"/>
  </w:num>
  <w:num w:numId="6" w16cid:durableId="209391462">
    <w:abstractNumId w:val="3"/>
  </w:num>
  <w:num w:numId="7" w16cid:durableId="1938831987">
    <w:abstractNumId w:val="2"/>
  </w:num>
  <w:num w:numId="8" w16cid:durableId="1897626600">
    <w:abstractNumId w:val="1"/>
  </w:num>
  <w:num w:numId="9" w16cid:durableId="8109056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71D2"/>
    <w:rsid w:val="00146958"/>
    <w:rsid w:val="0015074B"/>
    <w:rsid w:val="001D3F3F"/>
    <w:rsid w:val="001F0075"/>
    <w:rsid w:val="001F16A4"/>
    <w:rsid w:val="00225CFD"/>
    <w:rsid w:val="00277B72"/>
    <w:rsid w:val="0029639D"/>
    <w:rsid w:val="00321567"/>
    <w:rsid w:val="00326F90"/>
    <w:rsid w:val="0044465B"/>
    <w:rsid w:val="00512D0E"/>
    <w:rsid w:val="005C0DF5"/>
    <w:rsid w:val="005D0C24"/>
    <w:rsid w:val="006D608A"/>
    <w:rsid w:val="0097064A"/>
    <w:rsid w:val="009B3063"/>
    <w:rsid w:val="00A16036"/>
    <w:rsid w:val="00A70E6B"/>
    <w:rsid w:val="00A93E55"/>
    <w:rsid w:val="00AA1D8D"/>
    <w:rsid w:val="00AE1101"/>
    <w:rsid w:val="00B0509C"/>
    <w:rsid w:val="00B47730"/>
    <w:rsid w:val="00BB78B5"/>
    <w:rsid w:val="00BB7C4C"/>
    <w:rsid w:val="00C64B52"/>
    <w:rsid w:val="00C701F4"/>
    <w:rsid w:val="00CB0664"/>
    <w:rsid w:val="00CB6EF6"/>
    <w:rsid w:val="00F70275"/>
    <w:rsid w:val="00F87218"/>
    <w:rsid w:val="00FA41B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BDC01C0-D167-4D09-ABE7-700B303D2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ind w:firstLine="709"/>
      <w:jc w:val="both"/>
    </w:pPr>
    <w:rPr>
      <w:rFonts w:ascii="Times New Roman" w:hAnsi="Times New Roman"/>
      <w:color w:val="000000"/>
      <w:sz w:val="24"/>
    </w:rPr>
  </w:style>
  <w:style w:type="paragraph" w:styleId="Titlu1">
    <w:name w:val="heading 1"/>
    <w:basedOn w:val="Normal"/>
    <w:next w:val="Normal"/>
    <w:link w:val="Titlu1Caracter"/>
    <w:uiPriority w:val="9"/>
    <w:qFormat/>
    <w:rsid w:val="00FC693F"/>
    <w:pPr>
      <w:keepNext/>
      <w:keepLines/>
      <w:spacing w:before="240" w:line="240" w:lineRule="auto"/>
      <w:ind w:firstLine="0"/>
      <w:jc w:val="left"/>
      <w:outlineLvl w:val="0"/>
    </w:pPr>
    <w:rPr>
      <w:rFonts w:asciiTheme="majorHAnsi" w:eastAsiaTheme="majorEastAsia" w:hAnsiTheme="majorHAnsi" w:cstheme="majorBidi"/>
      <w:b/>
      <w:bCs/>
      <w:sz w:val="26"/>
      <w:szCs w:val="28"/>
    </w:rPr>
  </w:style>
  <w:style w:type="paragraph" w:styleId="Titlu2">
    <w:name w:val="heading 2"/>
    <w:basedOn w:val="Normal"/>
    <w:next w:val="Normal"/>
    <w:link w:val="Titlu2Caracter"/>
    <w:uiPriority w:val="9"/>
    <w:unhideWhenUsed/>
    <w:qFormat/>
    <w:rsid w:val="00FC693F"/>
    <w:pPr>
      <w:keepNext/>
      <w:keepLines/>
      <w:spacing w:before="160" w:after="80" w:line="240" w:lineRule="auto"/>
      <w:ind w:firstLine="0"/>
      <w:jc w:val="left"/>
      <w:outlineLvl w:val="1"/>
    </w:pPr>
    <w:rPr>
      <w:rFonts w:asciiTheme="majorHAnsi" w:eastAsiaTheme="majorEastAsia" w:hAnsiTheme="majorHAnsi" w:cstheme="majorBidi"/>
      <w:b/>
      <w:bCs/>
      <w:szCs w:val="26"/>
    </w:rPr>
  </w:style>
  <w:style w:type="paragraph" w:styleId="Titlu3">
    <w:name w:val="heading 3"/>
    <w:basedOn w:val="Normal"/>
    <w:next w:val="Normal"/>
    <w:link w:val="Titlu3Caracter"/>
    <w:uiPriority w:val="9"/>
    <w:unhideWhenUsed/>
    <w:qFormat/>
    <w:rsid w:val="00FC693F"/>
    <w:pPr>
      <w:keepNext/>
      <w:keepLines/>
      <w:spacing w:before="120" w:after="60" w:line="240" w:lineRule="auto"/>
      <w:ind w:firstLine="0"/>
      <w:jc w:val="left"/>
      <w:outlineLvl w:val="2"/>
    </w:pPr>
    <w:rPr>
      <w:rFonts w:asciiTheme="majorHAnsi" w:eastAsiaTheme="majorEastAsia" w:hAnsiTheme="majorHAnsi" w:cstheme="majorBidi"/>
      <w:b/>
      <w:bCs/>
      <w:i/>
    </w:rPr>
  </w:style>
  <w:style w:type="paragraph" w:styleId="Titlu4">
    <w:name w:val="heading 4"/>
    <w:basedOn w:val="Normal"/>
    <w:next w:val="Normal"/>
    <w:link w:val="Titlu4Caracte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keepNext/>
      <w:spacing w:before="240" w:after="240" w:line="240" w:lineRule="auto"/>
      <w:ind w:firstLine="0"/>
      <w:contextualSpacing/>
      <w:jc w:val="center"/>
    </w:pPr>
    <w:rPr>
      <w:rFonts w:asciiTheme="majorHAnsi" w:eastAsiaTheme="majorEastAsia" w:hAnsiTheme="majorHAnsi" w:cstheme="majorBidi"/>
      <w:b/>
      <w:spacing w:val="5"/>
      <w:kern w:val="28"/>
      <w:sz w:val="28"/>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ind w:firstLine="709"/>
    </w:pPr>
    <w:rPr>
      <w:rFonts w:asciiTheme="majorHAnsi" w:eastAsiaTheme="majorEastAsia" w:hAnsiTheme="majorHAnsi" w:cstheme="majorBidi"/>
      <w:i/>
      <w:iCs/>
      <w:color w:val="4F81BD" w:themeColor="accent1"/>
      <w:spacing w:val="15"/>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tabs>
        <w:tab w:val="left" w:pos="720"/>
      </w:tabs>
      <w:spacing w:after="60"/>
      <w:ind w:left="720"/>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ind w:left="360"/>
      <w:contextualSpacing/>
    </w:pPr>
  </w:style>
  <w:style w:type="paragraph" w:styleId="Listcontinuare2">
    <w:name w:val="List Continue 2"/>
    <w:basedOn w:val="Normal"/>
    <w:uiPriority w:val="99"/>
    <w:unhideWhenUsed/>
    <w:rsid w:val="0029639D"/>
    <w:pPr>
      <w:ind w:left="720"/>
      <w:contextualSpacing/>
    </w:pPr>
  </w:style>
  <w:style w:type="paragraph" w:styleId="Listcontinuare3">
    <w:name w:val="List Continue 3"/>
    <w:basedOn w:val="Normal"/>
    <w:uiPriority w:val="99"/>
    <w:unhideWhenUsed/>
    <w:rsid w:val="0029639D"/>
    <w:pPr>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2450</Words>
  <Characters>14215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Instalație nocturnă pentru 2 terenuri antrenament – Stadionul Milcovul</dc:title>
  <dc:subject>Notă conceptuală și temă de proiectare</dc:subject>
  <dc:creator>Clubul Sportiv Județean Vrancea</dc:creator>
  <cp:keywords>HG 907/2016; investiție publică; Clubul Sportiv Județean Vrancea</cp:keywords>
  <dc:description>Draft elaborat pentru verificarea, asumarea și aprobarea beneficiarului.</dc:description>
  <cp:lastModifiedBy>Tulbure Mihaela</cp:lastModifiedBy>
  <cp:revision>14</cp:revision>
  <dcterms:created xsi:type="dcterms:W3CDTF">2026-08-03T12:10:00Z</dcterms:created>
  <dcterms:modified xsi:type="dcterms:W3CDTF">2026-09-15T08:12:00Z</dcterms:modified>
  <cp:category/>
</cp:coreProperties>
</file>