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9360" w:type="dxa"/>
        <w:tblLook w:val="04A0" w:firstRow="1" w:lastRow="0" w:firstColumn="1" w:lastColumn="0" w:noHBand="0" w:noVBand="1"/>
      </w:tblPr>
      <w:tblGrid>
        <w:gridCol w:w="5300"/>
        <w:gridCol w:w="4060"/>
      </w:tblGrid>
      <w:tr w:rsidR="00006F2B" w:rsidRPr="0098775D" w14:paraId="7181C1FD" w14:textId="77777777" w:rsidTr="00236095">
        <w:trPr>
          <w:cantSplit/>
          <w:tblHeader/>
        </w:trPr>
        <w:tc>
          <w:tcPr>
            <w:tcW w:w="5300" w:type="dxa"/>
            <w:tcBorders>
              <w:top w:val="nil"/>
              <w:left w:val="nil"/>
              <w:bottom w:val="nil"/>
              <w:right w:val="nil"/>
            </w:tcBorders>
            <w:tcMar>
              <w:top w:w="90" w:type="dxa"/>
              <w:left w:w="120" w:type="dxa"/>
              <w:bottom w:w="90" w:type="dxa"/>
              <w:right w:w="120" w:type="dxa"/>
            </w:tcMar>
            <w:vAlign w:val="center"/>
          </w:tcPr>
          <w:p w14:paraId="506ACA14" w14:textId="77777777" w:rsidR="00006F2B" w:rsidRPr="0098775D" w:rsidRDefault="00006F2B" w:rsidP="00236095">
            <w:pPr>
              <w:spacing w:after="0" w:line="240" w:lineRule="auto"/>
              <w:jc w:val="left"/>
              <w:rPr>
                <w:rFonts w:eastAsia="Times New Roman" w:cs="Times New Roman"/>
                <w:b/>
                <w:sz w:val="28"/>
                <w:szCs w:val="28"/>
                <w:lang w:val="ro-RO"/>
              </w:rPr>
            </w:pPr>
            <w:r w:rsidRPr="0098775D">
              <w:rPr>
                <w:rFonts w:eastAsia="Times New Roman" w:cs="Times New Roman"/>
                <w:b/>
                <w:sz w:val="28"/>
                <w:szCs w:val="28"/>
                <w:lang w:val="ro-RO"/>
              </w:rPr>
              <w:t xml:space="preserve">ROMÂNIA </w:t>
            </w:r>
          </w:p>
          <w:p w14:paraId="2BD73988" w14:textId="77777777" w:rsidR="00006F2B" w:rsidRPr="0098775D" w:rsidRDefault="00006F2B" w:rsidP="00236095">
            <w:pPr>
              <w:spacing w:after="0" w:line="240" w:lineRule="auto"/>
              <w:jc w:val="left"/>
              <w:rPr>
                <w:rFonts w:eastAsia="Times New Roman" w:cs="Times New Roman"/>
                <w:b/>
                <w:sz w:val="28"/>
                <w:szCs w:val="28"/>
                <w:lang w:val="ro-RO"/>
              </w:rPr>
            </w:pPr>
            <w:r w:rsidRPr="0098775D">
              <w:rPr>
                <w:rFonts w:eastAsia="Times New Roman" w:cs="Times New Roman"/>
                <w:b/>
                <w:sz w:val="28"/>
                <w:szCs w:val="28"/>
                <w:lang w:val="ro-RO"/>
              </w:rPr>
              <w:t>JUDEȚUL VRANCEA</w:t>
            </w:r>
          </w:p>
          <w:p w14:paraId="7AC6EF31" w14:textId="77777777" w:rsidR="00006F2B" w:rsidRPr="0098775D" w:rsidRDefault="00006F2B" w:rsidP="00236095">
            <w:pPr>
              <w:spacing w:after="0" w:line="240" w:lineRule="auto"/>
              <w:jc w:val="left"/>
              <w:rPr>
                <w:rFonts w:cs="Times New Roman"/>
                <w:b/>
                <w:sz w:val="28"/>
                <w:szCs w:val="28"/>
                <w:lang w:val="ro-RO"/>
              </w:rPr>
            </w:pPr>
            <w:r w:rsidRPr="0098775D">
              <w:rPr>
                <w:rFonts w:eastAsia="Times New Roman" w:cs="Times New Roman"/>
                <w:b/>
                <w:sz w:val="28"/>
                <w:szCs w:val="28"/>
                <w:lang w:val="ro-RO"/>
              </w:rPr>
              <w:t>CONSILIUL JUDEȚEAN VRANCEA</w:t>
            </w:r>
          </w:p>
        </w:tc>
        <w:tc>
          <w:tcPr>
            <w:tcW w:w="4060" w:type="dxa"/>
            <w:tcBorders>
              <w:top w:val="nil"/>
              <w:left w:val="nil"/>
              <w:bottom w:val="nil"/>
              <w:right w:val="nil"/>
            </w:tcBorders>
            <w:tcMar>
              <w:top w:w="90" w:type="dxa"/>
              <w:left w:w="120" w:type="dxa"/>
              <w:bottom w:w="90" w:type="dxa"/>
              <w:right w:w="120" w:type="dxa"/>
            </w:tcMar>
            <w:vAlign w:val="center"/>
          </w:tcPr>
          <w:p w14:paraId="3CD3345F" w14:textId="2597177B" w:rsidR="00006F2B" w:rsidRPr="0098775D" w:rsidRDefault="00006F2B" w:rsidP="00236095">
            <w:pPr>
              <w:spacing w:after="0" w:line="240" w:lineRule="auto"/>
              <w:jc w:val="center"/>
              <w:rPr>
                <w:rFonts w:cs="Times New Roman"/>
                <w:sz w:val="28"/>
                <w:szCs w:val="28"/>
                <w:lang w:val="ro-RO"/>
              </w:rPr>
            </w:pPr>
            <w:r w:rsidRPr="0098775D">
              <w:rPr>
                <w:rFonts w:eastAsia="Times New Roman" w:cs="Times New Roman"/>
                <w:b/>
                <w:sz w:val="28"/>
                <w:szCs w:val="28"/>
                <w:lang w:val="ro-RO"/>
              </w:rPr>
              <w:t xml:space="preserve">Anexa </w:t>
            </w:r>
            <w:r w:rsidR="00065491">
              <w:rPr>
                <w:rFonts w:eastAsia="Times New Roman" w:cs="Times New Roman"/>
                <w:b/>
                <w:sz w:val="28"/>
                <w:szCs w:val="28"/>
                <w:lang w:val="ro-RO"/>
              </w:rPr>
              <w:t>nr.</w:t>
            </w:r>
            <w:r w:rsidRPr="0098775D">
              <w:rPr>
                <w:rFonts w:eastAsia="Times New Roman" w:cs="Times New Roman"/>
                <w:b/>
                <w:sz w:val="28"/>
                <w:szCs w:val="28"/>
                <w:lang w:val="ro-RO"/>
              </w:rPr>
              <w:t xml:space="preserve"> 1</w:t>
            </w:r>
            <w:r w:rsidRPr="0098775D">
              <w:rPr>
                <w:rFonts w:eastAsia="Times New Roman" w:cs="Times New Roman"/>
                <w:b/>
                <w:sz w:val="28"/>
                <w:szCs w:val="28"/>
                <w:lang w:val="ro-RO"/>
              </w:rPr>
              <w:br/>
              <w:t xml:space="preserve">la Hotărârea nr. </w:t>
            </w:r>
            <w:r w:rsidR="00DE5F40">
              <w:rPr>
                <w:rFonts w:eastAsia="Times New Roman" w:cs="Times New Roman"/>
                <w:b/>
                <w:sz w:val="28"/>
                <w:szCs w:val="28"/>
                <w:lang w:val="ro-RO"/>
              </w:rPr>
              <w:t>215 din 17.09.2026</w:t>
            </w:r>
          </w:p>
          <w:p w14:paraId="0D8CE6DF" w14:textId="77777777" w:rsidR="00006F2B" w:rsidRPr="0098775D" w:rsidRDefault="00006F2B" w:rsidP="00236095">
            <w:pPr>
              <w:spacing w:after="0" w:line="240" w:lineRule="auto"/>
              <w:jc w:val="center"/>
              <w:rPr>
                <w:rFonts w:cs="Times New Roman"/>
                <w:sz w:val="28"/>
                <w:szCs w:val="28"/>
                <w:lang w:val="ro-RO"/>
              </w:rPr>
            </w:pPr>
          </w:p>
        </w:tc>
      </w:tr>
    </w:tbl>
    <w:p w14:paraId="19FC03F8" w14:textId="77777777" w:rsidR="00006F2B" w:rsidRPr="0098775D" w:rsidRDefault="00006F2B" w:rsidP="00006F2B">
      <w:pPr>
        <w:spacing w:after="0" w:line="240" w:lineRule="auto"/>
        <w:rPr>
          <w:rFonts w:eastAsia="Times New Roman" w:cs="Times New Roman"/>
          <w:b/>
          <w:sz w:val="28"/>
          <w:szCs w:val="28"/>
          <w:lang w:val="ro-RO"/>
        </w:rPr>
      </w:pPr>
      <w:r w:rsidRPr="0098775D">
        <w:rPr>
          <w:rFonts w:eastAsia="Times New Roman" w:cs="Times New Roman"/>
          <w:b/>
          <w:sz w:val="28"/>
          <w:szCs w:val="28"/>
          <w:lang w:val="ro-RO"/>
        </w:rPr>
        <w:br/>
        <w:t>Beneficiar U.A.T. Județul Vrancea</w:t>
      </w:r>
    </w:p>
    <w:p w14:paraId="7430FAB6" w14:textId="77777777" w:rsidR="00006F2B" w:rsidRPr="0098775D" w:rsidRDefault="00006F2B" w:rsidP="00006F2B">
      <w:pPr>
        <w:spacing w:after="0" w:line="240" w:lineRule="auto"/>
        <w:rPr>
          <w:rFonts w:eastAsia="Times New Roman" w:cs="Times New Roman"/>
          <w:b/>
          <w:sz w:val="28"/>
          <w:szCs w:val="28"/>
          <w:lang w:val="ro-RO"/>
        </w:rPr>
      </w:pPr>
      <w:r w:rsidRPr="0098775D">
        <w:rPr>
          <w:rFonts w:eastAsia="Times New Roman" w:cs="Times New Roman"/>
          <w:b/>
          <w:sz w:val="28"/>
          <w:szCs w:val="28"/>
          <w:lang w:val="ro-RO"/>
        </w:rPr>
        <w:t>Nr. .........../.....................</w:t>
      </w:r>
    </w:p>
    <w:p w14:paraId="160F0C1C" w14:textId="77777777" w:rsidR="00006F2B" w:rsidRPr="0098775D" w:rsidRDefault="00006F2B" w:rsidP="00006F2B">
      <w:pPr>
        <w:spacing w:after="0" w:line="240" w:lineRule="auto"/>
        <w:rPr>
          <w:rFonts w:eastAsia="Times New Roman" w:cs="Times New Roman"/>
          <w:b/>
          <w:sz w:val="28"/>
          <w:szCs w:val="28"/>
          <w:lang w:val="ro-RO"/>
        </w:rPr>
      </w:pPr>
    </w:p>
    <w:p w14:paraId="5A50488A" w14:textId="77777777" w:rsidR="00006F2B" w:rsidRPr="0098775D" w:rsidRDefault="00006F2B" w:rsidP="00006F2B">
      <w:pPr>
        <w:spacing w:after="0" w:line="240" w:lineRule="auto"/>
        <w:rPr>
          <w:rFonts w:eastAsia="Times New Roman" w:cs="Times New Roman"/>
          <w:b/>
          <w:sz w:val="28"/>
          <w:szCs w:val="28"/>
          <w:lang w:val="ro-RO"/>
        </w:rPr>
      </w:pPr>
      <w:r w:rsidRPr="0098775D">
        <w:rPr>
          <w:rFonts w:eastAsia="Times New Roman" w:cs="Times New Roman"/>
          <w:b/>
          <w:sz w:val="28"/>
          <w:szCs w:val="28"/>
          <w:lang w:val="ro-RO"/>
        </w:rPr>
        <w:t xml:space="preserve">Aprob, </w:t>
      </w:r>
      <w:r w:rsidRPr="0098775D">
        <w:rPr>
          <w:rFonts w:eastAsia="Times New Roman" w:cs="Times New Roman"/>
          <w:b/>
          <w:sz w:val="28"/>
          <w:szCs w:val="28"/>
          <w:lang w:val="ro-RO"/>
        </w:rPr>
        <w:br/>
        <w:t xml:space="preserve">Președinte, </w:t>
      </w:r>
    </w:p>
    <w:p w14:paraId="54FBC314" w14:textId="77777777" w:rsidR="00006F2B" w:rsidRPr="0098775D" w:rsidRDefault="00006F2B" w:rsidP="00006F2B">
      <w:pPr>
        <w:spacing w:after="0" w:line="240" w:lineRule="auto"/>
        <w:rPr>
          <w:rFonts w:eastAsia="Times New Roman" w:cs="Times New Roman"/>
          <w:b/>
          <w:sz w:val="28"/>
          <w:szCs w:val="28"/>
          <w:lang w:val="ro-RO"/>
        </w:rPr>
      </w:pPr>
      <w:r w:rsidRPr="0098775D">
        <w:rPr>
          <w:rFonts w:eastAsia="Times New Roman" w:cs="Times New Roman"/>
          <w:b/>
          <w:sz w:val="28"/>
          <w:szCs w:val="28"/>
          <w:lang w:val="ro-RO"/>
        </w:rPr>
        <w:t>Nicușor Halici</w:t>
      </w:r>
    </w:p>
    <w:p w14:paraId="71538AED" w14:textId="77777777" w:rsidR="00F65146" w:rsidRPr="0098775D" w:rsidRDefault="00F65146">
      <w:pPr>
        <w:spacing w:after="80"/>
        <w:rPr>
          <w:rFonts w:cs="Times New Roman"/>
          <w:sz w:val="28"/>
          <w:szCs w:val="28"/>
          <w:lang w:val="ro-RO"/>
        </w:rPr>
      </w:pPr>
    </w:p>
    <w:p w14:paraId="2D059212" w14:textId="77777777" w:rsidR="00F65146" w:rsidRPr="0098775D" w:rsidRDefault="00B352D9">
      <w:pPr>
        <w:pStyle w:val="Titlu"/>
        <w:keepNext/>
        <w:keepLines/>
        <w:spacing w:before="120" w:after="160" w:line="252" w:lineRule="auto"/>
        <w:rPr>
          <w:rFonts w:ascii="Times New Roman" w:hAnsi="Times New Roman" w:cs="Times New Roman"/>
          <w:szCs w:val="28"/>
          <w:lang w:val="ro-RO"/>
        </w:rPr>
      </w:pPr>
      <w:r w:rsidRPr="0098775D">
        <w:rPr>
          <w:rFonts w:ascii="Times New Roman" w:eastAsia="Times New Roman" w:hAnsi="Times New Roman" w:cs="Times New Roman"/>
          <w:szCs w:val="28"/>
          <w:lang w:val="ro-RO"/>
        </w:rPr>
        <w:t>NOTĂ CONCEPTUALĂ</w:t>
      </w:r>
    </w:p>
    <w:p w14:paraId="49C18CA3" w14:textId="77777777" w:rsidR="00F65146" w:rsidRPr="0098775D" w:rsidRDefault="00F65146">
      <w:pPr>
        <w:spacing w:after="80"/>
        <w:rPr>
          <w:rFonts w:cs="Times New Roman"/>
          <w:sz w:val="28"/>
          <w:szCs w:val="28"/>
          <w:lang w:val="ro-RO"/>
        </w:rPr>
      </w:pPr>
    </w:p>
    <w:p w14:paraId="213D29BA" w14:textId="77777777" w:rsidR="00F65146" w:rsidRPr="0098775D" w:rsidRDefault="00B352D9">
      <w:pPr>
        <w:pStyle w:val="Titlu1"/>
        <w:spacing w:before="160" w:after="80" w:line="252" w:lineRule="auto"/>
        <w:rPr>
          <w:rFonts w:ascii="Times New Roman" w:hAnsi="Times New Roman" w:cs="Times New Roman"/>
          <w:sz w:val="28"/>
          <w:lang w:val="ro-RO"/>
        </w:rPr>
      </w:pPr>
      <w:r w:rsidRPr="0098775D">
        <w:rPr>
          <w:rFonts w:ascii="Times New Roman" w:eastAsia="Times New Roman" w:hAnsi="Times New Roman" w:cs="Times New Roman"/>
          <w:sz w:val="28"/>
          <w:lang w:val="ro-RO"/>
        </w:rPr>
        <w:t>1. Informații generale privind obiectivul de investiții propus</w:t>
      </w:r>
    </w:p>
    <w:p w14:paraId="4276763F"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1.1. Denumirea obiectivului de investiții</w:t>
      </w:r>
    </w:p>
    <w:p w14:paraId="55A33922" w14:textId="77777777" w:rsidR="00F65146" w:rsidRPr="0098775D" w:rsidRDefault="00B352D9">
      <w:pPr>
        <w:keepLines/>
        <w:spacing w:after="80"/>
        <w:ind w:firstLine="369"/>
        <w:jc w:val="center"/>
        <w:rPr>
          <w:rFonts w:cs="Times New Roman"/>
          <w:sz w:val="28"/>
          <w:szCs w:val="28"/>
          <w:lang w:val="ro-RO"/>
        </w:rPr>
      </w:pPr>
      <w:r w:rsidRPr="0098775D">
        <w:rPr>
          <w:rFonts w:eastAsia="Times New Roman" w:cs="Times New Roman"/>
          <w:sz w:val="28"/>
          <w:szCs w:val="28"/>
          <w:lang w:val="ro-RO"/>
        </w:rPr>
        <w:t>„REABILITARE ȘI MODERNIZARE STADIONUL TINERETULUI”</w:t>
      </w:r>
    </w:p>
    <w:p w14:paraId="71D3BCEB"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1.2. Ordonator principal de credite/Investitor</w:t>
      </w:r>
    </w:p>
    <w:p w14:paraId="63036EF7"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Ordonator principal de credite: Președintele Consiliului Județean Vrancea. Investitor: Unitatea Administrativ-Teritorială Județul Vrancea, prin Consiliul Județean Vrancea.</w:t>
      </w:r>
    </w:p>
    <w:p w14:paraId="15C4F3A4"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1.3. Ordonator de credite (secundar/terțiar)</w:t>
      </w:r>
    </w:p>
    <w:p w14:paraId="3FC3A25C"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Nu este cazul. Finanțarea și implementarea se asigură în bugetul și prin structurile Consiliului Județean Vrancea.</w:t>
      </w:r>
    </w:p>
    <w:p w14:paraId="4F387DB6"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1.4. Beneficiarul investiției</w:t>
      </w:r>
    </w:p>
    <w:p w14:paraId="453B843C"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 xml:space="preserve">Unitatea Administrativ-Teritorială Județul Vrancea, proprietarul imobilului din domeniul public județean. Consiliul Județean Vrancea promovează, finanțează, </w:t>
      </w:r>
      <w:proofErr w:type="spellStart"/>
      <w:r w:rsidRPr="0098775D">
        <w:rPr>
          <w:rFonts w:eastAsia="Times New Roman" w:cs="Times New Roman"/>
          <w:sz w:val="28"/>
          <w:szCs w:val="28"/>
          <w:lang w:val="ro-RO"/>
        </w:rPr>
        <w:t>contractează</w:t>
      </w:r>
      <w:proofErr w:type="spellEnd"/>
      <w:r w:rsidRPr="0098775D">
        <w:rPr>
          <w:rFonts w:eastAsia="Times New Roman" w:cs="Times New Roman"/>
          <w:sz w:val="28"/>
          <w:szCs w:val="28"/>
          <w:lang w:val="ro-RO"/>
        </w:rPr>
        <w:t xml:space="preserve"> și implementează integral investiția.</w:t>
      </w:r>
    </w:p>
    <w:p w14:paraId="174CD8D3" w14:textId="77777777" w:rsidR="00F65146" w:rsidRPr="0098775D" w:rsidRDefault="00B352D9">
      <w:pPr>
        <w:pStyle w:val="Titlu1"/>
        <w:spacing w:before="160" w:after="80" w:line="252" w:lineRule="auto"/>
        <w:rPr>
          <w:rFonts w:ascii="Times New Roman" w:hAnsi="Times New Roman" w:cs="Times New Roman"/>
          <w:sz w:val="28"/>
          <w:lang w:val="ro-RO"/>
        </w:rPr>
      </w:pPr>
      <w:r w:rsidRPr="0098775D">
        <w:rPr>
          <w:rFonts w:ascii="Times New Roman" w:eastAsia="Times New Roman" w:hAnsi="Times New Roman" w:cs="Times New Roman"/>
          <w:sz w:val="28"/>
          <w:lang w:val="ro-RO"/>
        </w:rPr>
        <w:t>2. Necesitatea și oportunitatea obiectivului de investiții propus</w:t>
      </w:r>
    </w:p>
    <w:p w14:paraId="7A26E71F"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2.1. Scurtă prezentare privind:</w:t>
      </w:r>
    </w:p>
    <w:p w14:paraId="417D939C" w14:textId="77777777" w:rsidR="00F65146" w:rsidRPr="0098775D" w:rsidRDefault="00B352D9">
      <w:pPr>
        <w:pStyle w:val="Titlu3"/>
        <w:spacing w:before="10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a) Deficiențe ale situației actuale</w:t>
      </w:r>
    </w:p>
    <w:p w14:paraId="0994B18D"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Stadionul Tineretului este situat în municipiul Focșani, str. Cuza Vodă nr. 61, pe un teren în suprafață de 39.990 mp, identificat în documentațiile analizate prin T71, P4250, nr. cadastral/CF 62641 Focșani. Imobilul aparține domeniului public al Județului Vrancea. Prin Hotărârea Consiliului Județean Vrancea nr. 117/18.06.2025 s-a constatat încetarea dreptului de administrare transmis Consiliului Local Focșani, iar prin Hotărârea nr. 81/06.05.2026 s-a constituit un drept de administrare asupra imobilului.</w:t>
      </w:r>
    </w:p>
    <w:p w14:paraId="286C1496"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lastRenderedPageBreak/>
        <w:t>Baza este utilizată pentru activități sportive și comunitare, în temeiul regulamentului aprobat prin Hotărârea Consiliului Județean Vrancea nr. 179/11.09.2025. În anul 2026 au fost anunțate lucrări de igienizare și pregătire pentru reabilitare. Starea cadastrală, inventarul bunurilor și stadiul lucrărilor aprobate ulterior documentației din 2023 trebuie însă actualizate înaintea definirii exacte a demolărilor.</w:t>
      </w:r>
    </w:p>
    <w:p w14:paraId="555E9855"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Documentația tehnică veche inventariază următoarele corpuri și suprafețe construite:</w:t>
      </w:r>
    </w:p>
    <w:tbl>
      <w:tblPr>
        <w:tblStyle w:val="Tabelgril"/>
        <w:tblW w:w="9360" w:type="dxa"/>
        <w:tblInd w:w="120" w:type="dxa"/>
        <w:tblLook w:val="04A0" w:firstRow="1" w:lastRow="0" w:firstColumn="1" w:lastColumn="0" w:noHBand="0" w:noVBand="1"/>
      </w:tblPr>
      <w:tblGrid>
        <w:gridCol w:w="1200"/>
        <w:gridCol w:w="5500"/>
        <w:gridCol w:w="2660"/>
      </w:tblGrid>
      <w:tr w:rsidR="00F65146" w:rsidRPr="0098775D" w14:paraId="0EF8DF18" w14:textId="77777777">
        <w:trPr>
          <w:cantSplit/>
          <w:tblHeader/>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906C68D"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Corp</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3FBE89E"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Destinație existentă</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2179D42"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Suprafață construită</w:t>
            </w:r>
          </w:p>
        </w:tc>
      </w:tr>
      <w:tr w:rsidR="00F65146" w:rsidRPr="0098775D" w14:paraId="32EF59D4"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C9367C5"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C1</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E00D86B"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Vestiare, parter</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17B516B"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150 mp</w:t>
            </w:r>
          </w:p>
        </w:tc>
      </w:tr>
      <w:tr w:rsidR="00F65146" w:rsidRPr="0098775D" w14:paraId="5F582F19"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355D955"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C2</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F7F5803"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Grup sanitar/WC, parter</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3604587"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9 mp</w:t>
            </w:r>
          </w:p>
        </w:tc>
      </w:tr>
      <w:tr w:rsidR="00F65146" w:rsidRPr="0098775D" w14:paraId="7B10A4AA"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513B0DE"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C3</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F7505DE"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Casă de bilete</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76F11F4"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6 mp</w:t>
            </w:r>
          </w:p>
        </w:tc>
      </w:tr>
      <w:tr w:rsidR="00F65146" w:rsidRPr="0098775D" w14:paraId="7AD9424D"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88A04AB"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C4</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1E1F826"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Casă de bilete</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4F9B674"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6 mp</w:t>
            </w:r>
          </w:p>
        </w:tc>
      </w:tr>
      <w:tr w:rsidR="00F65146" w:rsidRPr="0098775D" w14:paraId="51E09CAA"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BD16CB8"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C5</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C44CCA6"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Tribună</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66BD53E"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1.013 mp</w:t>
            </w:r>
          </w:p>
        </w:tc>
      </w:tr>
      <w:tr w:rsidR="00F65146" w:rsidRPr="0098775D" w14:paraId="6DCF3E61"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0E70A3D"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C6</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A808FE4"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Tribună</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11CED7B"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380 mp</w:t>
            </w:r>
          </w:p>
        </w:tc>
      </w:tr>
      <w:tr w:rsidR="00F65146" w:rsidRPr="0098775D" w14:paraId="043BB0EF" w14:textId="77777777">
        <w:trPr>
          <w:cantSplit/>
        </w:trPr>
        <w:tc>
          <w:tcPr>
            <w:tcW w:w="12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2990001"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Total</w:t>
            </w:r>
          </w:p>
        </w:tc>
        <w:tc>
          <w:tcPr>
            <w:tcW w:w="5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2A20E71"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Construcții inventariate în documentația veche</w:t>
            </w:r>
          </w:p>
        </w:tc>
        <w:tc>
          <w:tcPr>
            <w:tcW w:w="26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E10C3FE"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1.564 mp</w:t>
            </w:r>
          </w:p>
        </w:tc>
      </w:tr>
    </w:tbl>
    <w:p w14:paraId="00FF7A26" w14:textId="77777777" w:rsidR="00F65146" w:rsidRPr="0098775D" w:rsidRDefault="00F65146">
      <w:pPr>
        <w:spacing w:after="80"/>
        <w:rPr>
          <w:rFonts w:cs="Times New Roman"/>
          <w:sz w:val="28"/>
          <w:szCs w:val="28"/>
          <w:lang w:val="ro-RO"/>
        </w:rPr>
      </w:pPr>
    </w:p>
    <w:p w14:paraId="63FDB58E"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 xml:space="preserve">Expertiza tehnică nr. ET 25976/2022, elaborată în anul 2023, încadrează ansamblul analizat în clasa de risc seismic </w:t>
      </w:r>
      <w:proofErr w:type="spellStart"/>
      <w:r w:rsidRPr="0098775D">
        <w:rPr>
          <w:rFonts w:eastAsia="Times New Roman" w:cs="Times New Roman"/>
          <w:sz w:val="28"/>
          <w:szCs w:val="28"/>
          <w:lang w:val="ro-RO"/>
        </w:rPr>
        <w:t>RsI</w:t>
      </w:r>
      <w:proofErr w:type="spellEnd"/>
      <w:r w:rsidRPr="0098775D">
        <w:rPr>
          <w:rFonts w:eastAsia="Times New Roman" w:cs="Times New Roman"/>
          <w:sz w:val="28"/>
          <w:szCs w:val="28"/>
          <w:lang w:val="ro-RO"/>
        </w:rPr>
        <w:t xml:space="preserve"> și consemnează valori R1 = 29,30 și R2 = 36,87, cu degradări structurale și nestructurale severe. Sunt descrise desprinderi de beton, armături expuse și corodate, fisuri și dislocări ale zidăriilor, coroziunea elementelor metalice, lipsa contravântuirilor și degradarea împrejmuirii. Concluzia expertizei este demolarea corpurilor C1-C6 și a gardului analizat. Expertiza precizează că devine neactuală dacă starea construcțiilor sau reglementările se modifică; de aceea, concluziile trebuie reconfirmate înaintea autorizării desființării.</w:t>
      </w:r>
    </w:p>
    <w:p w14:paraId="172AF9CE"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b/>
          <w:sz w:val="28"/>
          <w:szCs w:val="28"/>
          <w:lang w:val="ro-RO"/>
        </w:rPr>
        <w:t xml:space="preserve">Decizia de principiu a investitorului privind desființarea: </w:t>
      </w:r>
      <w:r w:rsidRPr="0098775D">
        <w:rPr>
          <w:rFonts w:eastAsia="Times New Roman" w:cs="Times New Roman"/>
          <w:sz w:val="28"/>
          <w:szCs w:val="28"/>
          <w:lang w:val="ro-RO"/>
        </w:rPr>
        <w:t>prin prezenta Notă conceptuală se stabilește ca obiect obligatoriu al investiției desființarea integrală a construcțiilor vechi C1-C7, inclusiv C1-vestiare, C2-grup sanitar, C3-C4-case de bilete, C5-C6-tribunele vechi și toate încăperile/vestiarele de sub acestea, precum și C7 identificată potrivit HCJ nr. 87/06.05.2026. Se vor desființa și fundațiile, copertinele, platformele, gardurile/împrejmuirile, porțile și instalațiile scoase din uz care sunt degradate ori incompatibile cu noua bază. Lista finală se confirmă prin inventar cadastral și patrimonial la zi și prin expertiză tehnică actualizată, fără a schimba intenția beneficiarului de eliberare completă a amplasamentului pentru noua soluție.</w:t>
      </w:r>
    </w:p>
    <w:p w14:paraId="66BE2462"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lastRenderedPageBreak/>
        <w:t xml:space="preserve"> tribunele și anexele sunt degradate, cu risc pentru utilizatori și cu funcțiuni improprii sau insuficiente;</w:t>
      </w:r>
    </w:p>
    <w:p w14:paraId="2786A78F"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nu există un sistem funcțional complet de drenaj și irigații pentru terenul principal, iar suprafața de iarbă nu are calitatea unui gazon sportiv;</w:t>
      </w:r>
    </w:p>
    <w:p w14:paraId="73D6D843"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pista circulară este degradată și nu oferă o suprafață constantă pentru alergare și antrenament;</w:t>
      </w:r>
    </w:p>
    <w:p w14:paraId="14336ED7"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nu sunt asigurate trasee, grupuri sanitare, locuri de parcare și poziții de vizionare complet accesibile persoanelor cu dizabilități;</w:t>
      </w:r>
    </w:p>
    <w:p w14:paraId="142FE22F"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iluminatul, împrejmuirile, accesurile, parcarea, depozitarea și spațiile tehnice nu răspund utilizării comunitare controlate și exploatării moderne;</w:t>
      </w:r>
    </w:p>
    <w:p w14:paraId="0C04E1C5"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lipsesc spații modulare și igienice pentru sportivi, arbitri, prim ajutor, administrație, întreținere și public.</w:t>
      </w:r>
    </w:p>
    <w:p w14:paraId="3255FAFD"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Proiectul aprobat prin Hotărârea Consiliului Județean Vrancea nr. 279/20.12.2023 avea o capacitate de 6.084 persoane, tribune de minimum 5.000 locuri, parcare multietajată, pistă de atletism destinată certificării și o valoare totală de 266.218.041,73 lei, inclusiv TVA, cu o durată totală indicată de 48 luni. Acest concept are o anvergură diferită și nu corespunde necesităților actuale, duratei de maximum 24 luni și obiectivului comunitar. Documentația veche se utilizează exclusiv ca sursă de date, nu ca soluție de proiectare, deviz sau autorizare.</w:t>
      </w:r>
    </w:p>
    <w:p w14:paraId="278A8D22" w14:textId="65E5616A"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 xml:space="preserve">Hotărârea nr. 8/30.01.2026 a aprobat o investiție distinctă privind împrejmuirile stradale, corpurile C3-C4, parcarea și </w:t>
      </w:r>
      <w:proofErr w:type="spellStart"/>
      <w:r w:rsidRPr="0098775D">
        <w:rPr>
          <w:rFonts w:eastAsia="Times New Roman" w:cs="Times New Roman"/>
          <w:sz w:val="28"/>
          <w:szCs w:val="28"/>
          <w:lang w:val="ro-RO"/>
        </w:rPr>
        <w:t>carporturile</w:t>
      </w:r>
      <w:proofErr w:type="spellEnd"/>
      <w:r w:rsidRPr="0098775D">
        <w:rPr>
          <w:rFonts w:eastAsia="Times New Roman" w:cs="Times New Roman"/>
          <w:sz w:val="28"/>
          <w:szCs w:val="28"/>
          <w:lang w:val="ro-RO"/>
        </w:rPr>
        <w:t xml:space="preserve">, iar HCJ nr. 87/06.05.2026 a inclus C7 în domeniul public județean. Noul concept include C3, C4 și C7 în ținta de desființare. Înaintea proiectării se verifică stadiul fizic, recepția și înscrierea lucrărilor din 2026, iar HCJ nr. 8/2026 și actele subsecvente </w:t>
      </w:r>
      <w:r w:rsidR="003C4B10">
        <w:rPr>
          <w:rFonts w:eastAsia="Times New Roman" w:cs="Times New Roman"/>
          <w:sz w:val="28"/>
          <w:szCs w:val="28"/>
          <w:lang w:val="ro-RO"/>
        </w:rPr>
        <w:t xml:space="preserve">își încetează aplicabilitatea </w:t>
      </w:r>
      <w:r w:rsidRPr="0098775D">
        <w:rPr>
          <w:rFonts w:eastAsia="Times New Roman" w:cs="Times New Roman"/>
          <w:sz w:val="28"/>
          <w:szCs w:val="28"/>
          <w:lang w:val="ro-RO"/>
        </w:rPr>
        <w:t>sau corelează expres în partea incompatibilă. Nicio lucrare nouă recepționată nu se desființează fără inventariere, justificare tehnico-economică și îndeplinirea procedurii patrimoniale.</w:t>
      </w:r>
    </w:p>
    <w:p w14:paraId="0955274C" w14:textId="77777777" w:rsidR="00F65146" w:rsidRPr="0098775D" w:rsidRDefault="00B352D9">
      <w:pPr>
        <w:pStyle w:val="Titlu3"/>
        <w:spacing w:before="10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b) Efectul pozitiv previzionat prin realizarea obiectivului de investiții</w:t>
      </w:r>
    </w:p>
    <w:p w14:paraId="22D14F33"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Investiția va transforma un stadion degradat într-o bază sportivă de proximitate, deschisă comunității după un regulament transparent, cu prioritate pentru copii, juniori, structuri sportive, unități de învățământ și practicarea liberă a mișcării. Se urmărește funcționarea zilnică, nu realizarea unei arene de spectacol supradimensionate.</w:t>
      </w:r>
    </w:p>
    <w:p w14:paraId="52D82108"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teren principal din gazon natural realizat prin însămânțare, cu drenaj și irigații, configurat pentru practicarea fotbalului și rugbyului și cu luarea în considerare a cerințelor tehnice aplicabile acestor ramuri sportive;</w:t>
      </w:r>
    </w:p>
    <w:p w14:paraId="48781103"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pistă perimetrală de aproximativ 400 m pentru alergare comunitară, antrenament și atletism, proiectată cu luarea în considerare a cerințelor tehnice aplicabile, fără impunerea certificării World Athletics;</w:t>
      </w:r>
    </w:p>
    <w:p w14:paraId="41318984"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spații curate și accesibile pentru sportivi, arbitri, prim ajutor, administrație, întreținere și public;</w:t>
      </w:r>
    </w:p>
    <w:p w14:paraId="2475563C"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lastRenderedPageBreak/>
        <w:t xml:space="preserve"> tribună modulară, dimensionată realist pentru activități locale și juniori, cu posibilitate de extindere controlată;</w:t>
      </w:r>
    </w:p>
    <w:p w14:paraId="447A0800"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acces pietonal prietenos, împrejmuire transparentă, parcare la sol, rastele pentru biciclete și acces pentru intervenție;</w:t>
      </w:r>
    </w:p>
    <w:p w14:paraId="1891B76D"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reducerea riscului de accidentare, a costurilor neplanificate de întreținere și a consumurilor prin soluții simple, reparabile și eficiente.</w:t>
      </w:r>
    </w:p>
    <w:p w14:paraId="293698C1" w14:textId="77777777" w:rsidR="00F65146" w:rsidRPr="0098775D" w:rsidRDefault="00B352D9">
      <w:pPr>
        <w:pStyle w:val="Titlu3"/>
        <w:spacing w:before="10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c) Impactul negativ previzionat în cazul nerealizării obiectivului de investiții</w:t>
      </w:r>
    </w:p>
    <w:p w14:paraId="2E8EFAE2"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Nerealizarea investiției menține riscurile asociate construcțiilor degradate, limitează accesul comunității la mișcare în aer liber și presupune cheltuieli recurente fără îmbunătățirea reală a funcționalității. Degradarea terenului, pistei, tribunelor și anexelor poate conduce la restrângerea utilizării, la imposibilitatea organizării jocurilor de juniori și la pierderea valorii de folosință a unui bun din domeniul public destinat sportului.</w:t>
      </w:r>
    </w:p>
    <w:p w14:paraId="3E3B709E"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2.2. Obiective de investiții cu funcțiuni similare existente în zonă</w:t>
      </w:r>
    </w:p>
    <w:p w14:paraId="095C1FF0"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Stadionul „Milcovul” și alte baze școlare sau de club din municipiul Focșani asigură funcțiuni sportive parțial similare, însă nu înlocuiesc necesitatea unei baze comunitare în zona de nord și nu elimină obligația de menținere în funcțiune a Stadionului Tineretului. Funcțiunile se concep complementar: Stadionul Tineretului pentru acces comunitar, pregătire, copii și juniori, jocuri oficiale la nivelul admis de dotări și evenimente sportive locale/naționale de amploare moderată.</w:t>
      </w:r>
    </w:p>
    <w:p w14:paraId="2E41F90E"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Ca bune practici se preiau principiile bazelor sportive tip 1 realizate prin C.N.I. - program compact, clădire și tribună cu structură simplă, suprafețe sportive robuste, iluminat de antrenament, împrejmuire și costuri de operare controlabile - fără copierea mecanică a proiectului-tip. Adaptarea locală constă în prioritatea terenului principal cu gazon natural însămânțat, introducerea pistei și analizarea terenului secundar în cadrul scenariilor tehnico-economice, fără afectarea programului minim funcțional.</w:t>
      </w:r>
    </w:p>
    <w:p w14:paraId="33FC50C6"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2.3. Încadrarea în strategii, master planuri sau planuri similare</w:t>
      </w:r>
    </w:p>
    <w:p w14:paraId="71B388BA"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Investiția se încadrează în obligațiile și obiectivele prevăzute de Legea educației fizice și sportului nr. 69/2000 privind păstrarea destinației și menținerea în stare de funcționare a bazelor sportive, precum și sprijinirea sportului pentru toți și a sportului de performanță. Obiectivul a fost menționat în Strategia de dezvoltare a județului Vrancea 2021-2027, OS 4/P 4.79. La promovare se vor indica documentele strategice actualizate și forma în vigoare a programelor județene privind sănătatea, tineretul, educația, incluziunea și infrastructura sportivă.</w:t>
      </w:r>
    </w:p>
    <w:p w14:paraId="0F914EBF"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lastRenderedPageBreak/>
        <w:t>2.4. Acorduri internaționale ale statului</w:t>
      </w:r>
    </w:p>
    <w:p w14:paraId="54869C93"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Nu au fost identificate acorduri internaționale care să oblige partea română la realizarea obiectivului în configurația propusă. Nu se impune proiectarea pentru Liga 1, certificare World Athletics ori competiții internaționale. Se aplică normele naționale obligatorii, iar cerințele tehnice ale federațiilor sportive se vor avea în vedere în măsura necesară păstrării posibilității unei omologări ulterioare, pentru una sau mai multe ramuri sportive.</w:t>
      </w:r>
    </w:p>
    <w:p w14:paraId="4B318D2B"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2.5. Obiective generale preconizate</w:t>
      </w:r>
    </w:p>
    <w:p w14:paraId="47017553"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Obiectivul general este reabilitarea și modernizarea Stadionului Tineretului ca bază sportivă comunitară multifuncțională, sigură, accesibilă și sustenabilă, cu prioritate absolută pentru terenul principal și pentru accesul populației la mișcare.</w:t>
      </w:r>
    </w:p>
    <w:tbl>
      <w:tblPr>
        <w:tblStyle w:val="Tabelgril"/>
        <w:tblW w:w="9360" w:type="dxa"/>
        <w:tblInd w:w="120" w:type="dxa"/>
        <w:tblLook w:val="04A0" w:firstRow="1" w:lastRow="0" w:firstColumn="1" w:lastColumn="0" w:noHBand="0" w:noVBand="1"/>
      </w:tblPr>
      <w:tblGrid>
        <w:gridCol w:w="1406"/>
        <w:gridCol w:w="4227"/>
        <w:gridCol w:w="3727"/>
      </w:tblGrid>
      <w:tr w:rsidR="00F65146" w:rsidRPr="0098775D" w14:paraId="53B2FC7F" w14:textId="77777777">
        <w:trPr>
          <w:cantSplit/>
          <w:tblHeader/>
        </w:trPr>
        <w:tc>
          <w:tcPr>
            <w:tcW w:w="14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DFECEAA"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Prioritate</w:t>
            </w:r>
          </w:p>
        </w:tc>
        <w:tc>
          <w:tcPr>
            <w:tcW w:w="42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34B1D9C"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Componentă</w:t>
            </w:r>
          </w:p>
        </w:tc>
        <w:tc>
          <w:tcPr>
            <w:tcW w:w="37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3BBB8F3"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Regula de decizie</w:t>
            </w:r>
          </w:p>
        </w:tc>
      </w:tr>
      <w:tr w:rsidR="00F65146" w:rsidRPr="0098775D" w14:paraId="7B7B4F78" w14:textId="77777777">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48D7326"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P0</w:t>
            </w:r>
          </w:p>
        </w:tc>
        <w:tc>
          <w:tcPr>
            <w:tcW w:w="42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1873892"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Clarificări juridice, cadastrale și tehnice; cultură/arheologie; avize; siguranța amplasamentului</w:t>
            </w:r>
          </w:p>
        </w:tc>
        <w:tc>
          <w:tcPr>
            <w:tcW w:w="37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B92029F"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Obligatoriu înaintea lucrărilor</w:t>
            </w:r>
          </w:p>
        </w:tc>
      </w:tr>
      <w:tr w:rsidR="00F65146" w:rsidRPr="0098775D" w14:paraId="70B3F4C1" w14:textId="77777777">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4A4BA43"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P1</w:t>
            </w:r>
          </w:p>
        </w:tc>
        <w:tc>
          <w:tcPr>
            <w:tcW w:w="42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E8A65FE"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Desființarea autorizată C1-C7 și a amenajărilor vechi; teren principal 105 x 68 m, gazon natural însămânțat, drenaj și irigații</w:t>
            </w:r>
          </w:p>
        </w:tc>
        <w:tc>
          <w:tcPr>
            <w:tcW w:w="37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E77B052"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Nu se reduce și nu se amână pentru alte componente</w:t>
            </w:r>
          </w:p>
        </w:tc>
      </w:tr>
      <w:tr w:rsidR="00F65146" w:rsidRPr="0098775D" w14:paraId="259053E5" w14:textId="77777777">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2C18E71"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P2</w:t>
            </w:r>
          </w:p>
        </w:tc>
        <w:tc>
          <w:tcPr>
            <w:tcW w:w="42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682687C"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Pistă comunitară, vestiare și anexe modulare, tribună de 500 locuri, accesibilitate, iluminat și împrejmuire</w:t>
            </w:r>
          </w:p>
        </w:tc>
        <w:tc>
          <w:tcPr>
            <w:tcW w:w="37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3EF11F3"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Se optimizează, dar se menține funcționalitatea minimă</w:t>
            </w:r>
          </w:p>
        </w:tc>
      </w:tr>
      <w:tr w:rsidR="00F65146" w:rsidRPr="0098775D" w14:paraId="527BA06E" w14:textId="77777777">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CEF5002"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P3</w:t>
            </w:r>
          </w:p>
        </w:tc>
        <w:tc>
          <w:tcPr>
            <w:tcW w:w="42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3DD3211"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Teren secundar sintetic multifuncțional, de dimensiune mare</w:t>
            </w:r>
          </w:p>
        </w:tc>
        <w:tc>
          <w:tcPr>
            <w:tcW w:w="373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7D6B21C"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Se include dacă scenariul aprobat îl justifică, fără afectarea P0-P2</w:t>
            </w:r>
          </w:p>
        </w:tc>
      </w:tr>
    </w:tbl>
    <w:p w14:paraId="6BC68801" w14:textId="77777777" w:rsidR="00F65146" w:rsidRPr="0098775D" w:rsidRDefault="00F65146">
      <w:pPr>
        <w:spacing w:after="80"/>
        <w:rPr>
          <w:rFonts w:cs="Times New Roman"/>
          <w:sz w:val="28"/>
          <w:szCs w:val="28"/>
          <w:lang w:val="ro-RO"/>
        </w:rPr>
      </w:pPr>
    </w:p>
    <w:p w14:paraId="3A5C8BB8" w14:textId="77777777" w:rsidR="00F65146" w:rsidRPr="0098775D" w:rsidRDefault="00B352D9">
      <w:pPr>
        <w:pStyle w:val="Titlu1"/>
        <w:spacing w:before="160" w:after="80" w:line="252" w:lineRule="auto"/>
        <w:rPr>
          <w:rFonts w:ascii="Times New Roman" w:hAnsi="Times New Roman" w:cs="Times New Roman"/>
          <w:sz w:val="28"/>
          <w:lang w:val="ro-RO"/>
        </w:rPr>
      </w:pPr>
      <w:r w:rsidRPr="0098775D">
        <w:rPr>
          <w:rFonts w:ascii="Times New Roman" w:eastAsia="Times New Roman" w:hAnsi="Times New Roman" w:cs="Times New Roman"/>
          <w:sz w:val="28"/>
          <w:lang w:val="ro-RO"/>
        </w:rPr>
        <w:t>3. Estimarea suportabilității investiției publice</w:t>
      </w:r>
    </w:p>
    <w:p w14:paraId="0B68E757"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3.1. Estimarea cheltuielilor pentru execuția obiectivului de investiții</w:t>
      </w:r>
    </w:p>
    <w:p w14:paraId="527FB1BF"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Estimarea cheltuielilor pentru execuția obiectivului, valoarea C+M și valoarea totală a investiției se vor fundamenta prin studiul de fezabilitate pentru obiectiv mixt, completat cu elementele specifice unei documentații de avizare a lucrărilor de intervenții, pe baza cantităților rezultate, a prețurilor de referință actualizate, a riscurilor și a scenariilor tehnico-economice analizate. Următoarea repartizare este un instrument de fundamentare și control, nu un deviz și nu o valoare de achiziție:</w:t>
      </w:r>
    </w:p>
    <w:tbl>
      <w:tblPr>
        <w:tblStyle w:val="Tabelgril"/>
        <w:tblW w:w="9231" w:type="dxa"/>
        <w:tblInd w:w="120" w:type="dxa"/>
        <w:tblLook w:val="04A0" w:firstRow="1" w:lastRow="0" w:firstColumn="1" w:lastColumn="0" w:noHBand="0" w:noVBand="1"/>
      </w:tblPr>
      <w:tblGrid>
        <w:gridCol w:w="4300"/>
        <w:gridCol w:w="4931"/>
      </w:tblGrid>
      <w:tr w:rsidR="00811CF1" w:rsidRPr="0098775D" w14:paraId="5CBF562A" w14:textId="77777777" w:rsidTr="00811CF1">
        <w:trPr>
          <w:cantSplit/>
          <w:tblHeader/>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7D2CE9F" w14:textId="77777777" w:rsidR="00811CF1" w:rsidRPr="0098775D" w:rsidRDefault="00811CF1">
            <w:pPr>
              <w:spacing w:after="20" w:line="240" w:lineRule="auto"/>
              <w:jc w:val="center"/>
              <w:rPr>
                <w:rFonts w:cs="Times New Roman"/>
                <w:sz w:val="28"/>
                <w:szCs w:val="28"/>
                <w:lang w:val="ro-RO"/>
              </w:rPr>
            </w:pPr>
            <w:r w:rsidRPr="0098775D">
              <w:rPr>
                <w:rFonts w:eastAsia="Times New Roman" w:cs="Times New Roman"/>
                <w:b/>
                <w:sz w:val="28"/>
                <w:szCs w:val="28"/>
                <w:lang w:val="ro-RO"/>
              </w:rPr>
              <w:lastRenderedPageBreak/>
              <w:t>Pachet de cheltuieli</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D4D6242" w14:textId="77777777" w:rsidR="00811CF1" w:rsidRPr="0098775D" w:rsidRDefault="00811CF1">
            <w:pPr>
              <w:spacing w:after="20" w:line="240" w:lineRule="auto"/>
              <w:jc w:val="center"/>
              <w:rPr>
                <w:rFonts w:cs="Times New Roman"/>
                <w:sz w:val="28"/>
                <w:szCs w:val="28"/>
                <w:lang w:val="ro-RO"/>
              </w:rPr>
            </w:pPr>
            <w:r w:rsidRPr="0098775D">
              <w:rPr>
                <w:rFonts w:eastAsia="Times New Roman" w:cs="Times New Roman"/>
                <w:b/>
                <w:sz w:val="28"/>
                <w:szCs w:val="28"/>
                <w:lang w:val="ro-RO"/>
              </w:rPr>
              <w:t>Observație</w:t>
            </w:r>
          </w:p>
        </w:tc>
      </w:tr>
      <w:tr w:rsidR="00811CF1" w:rsidRPr="0098775D" w14:paraId="0739563A"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3598172"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Studii, expertize, proiectare, verificare, avize, autorizare, asistență</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BC7B361"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Include documentațiile de desființare și construire, documentația/avizele arheologice și investigațiile cerute de D.J.C.</w:t>
            </w:r>
          </w:p>
        </w:tc>
      </w:tr>
      <w:tr w:rsidR="00811CF1" w:rsidRPr="0098775D" w14:paraId="49A8E842"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DAD9536"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Desființarea C1-C7, debranșări, evacuare/deșeuri, eliberarea amplasamentului</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741FD8D"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Se confirmă după inventariere, expertiză actualizată și condițiile arheologice</w:t>
            </w:r>
          </w:p>
        </w:tc>
      </w:tr>
      <w:tr w:rsidR="00811CF1" w:rsidRPr="0098775D" w14:paraId="2A87BB58"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FE3043D"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Teren principal însămânțat, drenaj, irigații și echipare sportivă</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3269750"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Pachet prioritar</w:t>
            </w:r>
          </w:p>
        </w:tc>
      </w:tr>
      <w:tr w:rsidR="00811CF1" w:rsidRPr="0098775D" w14:paraId="310B108D"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42AEC5F"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Pistă comunitară de alergare</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DBAC456"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Minimum 4, țintă 6 culoare; fără acreditare</w:t>
            </w:r>
          </w:p>
        </w:tc>
      </w:tr>
      <w:tr w:rsidR="00811CF1" w:rsidRPr="0098775D" w14:paraId="5F855810"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086CE10"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Vestiare/anexe modulare și tribună modulară</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E9BF150"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Program compact; 500 locuri inițial</w:t>
            </w:r>
          </w:p>
        </w:tc>
      </w:tr>
      <w:tr w:rsidR="00811CF1" w:rsidRPr="0098775D" w14:paraId="0C202714"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9903B07"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Accesuri, parcare la sol, împrejmuiri, iluminat, utilități, spații verzi</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D352D85"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Corelat cu lucrările HCJ nr. 8/2026</w:t>
            </w:r>
          </w:p>
        </w:tc>
      </w:tr>
      <w:tr w:rsidR="00811CF1" w:rsidRPr="0098775D" w14:paraId="6539E166"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887E2FC"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Teste, probe, cheltuieli conexe și rezervă de optimizare</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01BCAA5"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Nu substituie ajustările legale ale devizului</w:t>
            </w:r>
          </w:p>
        </w:tc>
      </w:tr>
      <w:tr w:rsidR="00811CF1" w:rsidRPr="0098775D" w14:paraId="0B16116F"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888EE80"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Program minim funcțional P0-P2</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832ACA5"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Țintă de proiectare</w:t>
            </w:r>
          </w:p>
        </w:tc>
      </w:tr>
      <w:tr w:rsidR="00811CF1" w:rsidRPr="0098775D" w14:paraId="7456AEF7" w14:textId="77777777" w:rsidTr="00811CF1">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8A77A7B"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Teren secundar sintetic - componentă condiționată</w:t>
            </w:r>
          </w:p>
        </w:tc>
        <w:tc>
          <w:tcPr>
            <w:tcW w:w="4931"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C12B27F" w14:textId="77777777" w:rsidR="00811CF1" w:rsidRPr="0098775D" w:rsidRDefault="00811CF1">
            <w:pPr>
              <w:spacing w:after="20" w:line="240" w:lineRule="auto"/>
              <w:rPr>
                <w:rFonts w:cs="Times New Roman"/>
                <w:sz w:val="28"/>
                <w:szCs w:val="28"/>
                <w:lang w:val="ro-RO"/>
              </w:rPr>
            </w:pPr>
            <w:r w:rsidRPr="0098775D">
              <w:rPr>
                <w:rFonts w:eastAsia="Times New Roman" w:cs="Times New Roman"/>
                <w:sz w:val="28"/>
                <w:szCs w:val="28"/>
                <w:lang w:val="ro-RO"/>
              </w:rPr>
              <w:t>Se include dacă scenariul aprobat îl justifică, fără afectarea programului minim</w:t>
            </w:r>
          </w:p>
        </w:tc>
      </w:tr>
    </w:tbl>
    <w:p w14:paraId="3C832B3F" w14:textId="77777777" w:rsidR="00F65146" w:rsidRPr="0098775D" w:rsidRDefault="00F65146">
      <w:pPr>
        <w:spacing w:after="80"/>
        <w:rPr>
          <w:rFonts w:cs="Times New Roman"/>
          <w:sz w:val="28"/>
          <w:szCs w:val="28"/>
          <w:lang w:val="ro-RO"/>
        </w:rPr>
      </w:pPr>
    </w:p>
    <w:p w14:paraId="0F1EF0EC" w14:textId="77777777" w:rsidR="00F65146" w:rsidRPr="0098775D" w:rsidRDefault="00F65146">
      <w:pPr>
        <w:spacing w:after="80"/>
        <w:rPr>
          <w:rFonts w:cs="Times New Roman"/>
          <w:sz w:val="28"/>
          <w:szCs w:val="28"/>
          <w:lang w:val="ro-RO"/>
        </w:rPr>
      </w:pPr>
    </w:p>
    <w:p w14:paraId="310D49D4"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3.3. Surse identificate pentru finanțare</w:t>
      </w:r>
    </w:p>
    <w:p w14:paraId="65D6176A"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Sursele pot fi: bugetul Județului Vrancea, transferuri/subvenții legal aprobate, programe naționale sau fonduri externe nerambursabile și alte surse legal constituite. Introducerea în programul de investiții și asigurarea creditelor de angajament/bugetare se aprobă potrivit Legii nr. 273/2006. Nicio sursă externă nu este prezumată la data notei; obiectivul trebuie să poată fi etapizat fără pierderea funcționalității.</w:t>
      </w:r>
    </w:p>
    <w:p w14:paraId="614D2FB2" w14:textId="77777777" w:rsidR="00F65146" w:rsidRPr="0098775D" w:rsidRDefault="00B352D9">
      <w:pPr>
        <w:pStyle w:val="Titlu1"/>
        <w:spacing w:before="160" w:after="80" w:line="252" w:lineRule="auto"/>
        <w:rPr>
          <w:rFonts w:ascii="Times New Roman" w:hAnsi="Times New Roman" w:cs="Times New Roman"/>
          <w:sz w:val="28"/>
          <w:lang w:val="ro-RO"/>
        </w:rPr>
      </w:pPr>
      <w:r w:rsidRPr="0098775D">
        <w:rPr>
          <w:rFonts w:ascii="Times New Roman" w:eastAsia="Times New Roman" w:hAnsi="Times New Roman" w:cs="Times New Roman"/>
          <w:sz w:val="28"/>
          <w:lang w:val="ro-RO"/>
        </w:rPr>
        <w:lastRenderedPageBreak/>
        <w:t>4. Informații privind regimul juridic, economic și tehnic al terenului și/sau al construcției existente</w:t>
      </w:r>
    </w:p>
    <w:p w14:paraId="692BB8F9"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4.1. Regimul juridic</w:t>
      </w:r>
    </w:p>
    <w:p w14:paraId="4D640538"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 xml:space="preserve">Terenul și construcțiile aferente Stadionului Tineretului aparțin domeniului public al Județului Vrancea. În documentația veche imobilul este identificat prin CF 62641 Focșani, T71, P4250, teren 39.990 mp. Prin HCJ nr. 81/06.05.2026 s-a constituit un drept de administrare asupra imobilului. U.A.T. Județul Vrancea, în calitate de proprietar, este unicul beneficiar și investitor al prezentei investiții și, prin Consiliul Județean Vrancea, elaborează, </w:t>
      </w:r>
      <w:proofErr w:type="spellStart"/>
      <w:r w:rsidRPr="0098775D">
        <w:rPr>
          <w:rFonts w:eastAsia="Times New Roman" w:cs="Times New Roman"/>
          <w:sz w:val="28"/>
          <w:szCs w:val="28"/>
          <w:lang w:val="ro-RO"/>
        </w:rPr>
        <w:t>contractează</w:t>
      </w:r>
      <w:proofErr w:type="spellEnd"/>
      <w:r w:rsidRPr="0098775D">
        <w:rPr>
          <w:rFonts w:eastAsia="Times New Roman" w:cs="Times New Roman"/>
          <w:sz w:val="28"/>
          <w:szCs w:val="28"/>
          <w:lang w:val="ro-RO"/>
        </w:rPr>
        <w:t xml:space="preserve"> și implementează documentațiile și lucrările.</w:t>
      </w:r>
    </w:p>
    <w:p w14:paraId="11290A3E"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Înaintea proiectării se vor obține extrasul de carte funciară actualizat, inventarul domeniului public, anexele HCJ nr. 81/2026 și nr. 87/2026, protocolul de predare-primire și documentele privind lucrările aprobate prin HCJ nr. 8/2026. Dreptul de administrare constituit prin HCJ nr. 81/2026 va fi revocat prin hotărâre a Consiliului Județean Vrancea și radiat din cartea funciară cel târziu înaintea predării amplasamentului către executant și a emiterii ordinului de începere a lucrărilor. Hotărârea va stabili inventarierea, predarea bunului, situația contractelor și responsabilitățile de pază și exploatare în perioada șantierului.</w:t>
      </w:r>
    </w:p>
    <w:p w14:paraId="6E7A9847" w14:textId="77777777" w:rsidR="0012672C" w:rsidRPr="0098775D" w:rsidRDefault="003E6002">
      <w:pPr>
        <w:spacing w:after="80"/>
        <w:ind w:firstLine="369"/>
        <w:rPr>
          <w:rFonts w:cs="Times New Roman"/>
          <w:sz w:val="28"/>
          <w:szCs w:val="28"/>
          <w:lang w:val="ro-RO"/>
        </w:rPr>
      </w:pPr>
      <w:r w:rsidRPr="0098775D">
        <w:rPr>
          <w:rFonts w:eastAsia="Times New Roman" w:cs="Times New Roman"/>
          <w:sz w:val="28"/>
          <w:szCs w:val="28"/>
          <w:lang w:val="ro-RO"/>
        </w:rPr>
        <w:t>Pentru fiecare corp C1-C7, trecerea din domeniul public în domeniul privat al Județului Vrancea se aprobă și se motivează distinct, cu justificarea temeinică a încetării uzului sau interesului public, potrivit art. 361 din OUG nr. 57/2019, anterior scoaterii din funcțiune/casării și desființării.</w:t>
      </w:r>
    </w:p>
    <w:p w14:paraId="7030DEFD"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4.2. Regimul economic</w:t>
      </w:r>
    </w:p>
    <w:p w14:paraId="1DE79236"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Destinația de bază sportivă se păstrează. Bunurile proprietate publică sunt inalienabile, imprescriptibile și insesizabile. U.A.T. Județul Vrancea realizează investiția în exercitarea dreptului de proprietate publică. Exploatarea ulterioară va respecta Legea nr. 69/2000, regulamentul bazei și hotărârile privind tarifele/folosința, cu acces comunitar și transparența programărilor; stabilirea administratorului după recepție se va face prin hotărâre distinctă, dacă va fi cazul.</w:t>
      </w:r>
    </w:p>
    <w:p w14:paraId="57E0F6A9"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4.3. Regimul tehnic</w:t>
      </w:r>
    </w:p>
    <w:p w14:paraId="6C639173"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Obiectivul este mixt: presupune desființarea unor construcții și amenajări existente, realizarea unor obiecte noi și modernizarea suprafețelor sportive. Conform art. 5 alin. (1) lit. c) din HG nr. 907/2016, faza tehnico-economică va fi studiu de fezabilitate completat cu elementele specifice DALI și fundamentat pe expertiza tehnică. Construcțiile, amenajările, împrejmuirile, instalațiile și demolările se autorizează potrivit Legii nr. 50/1991.</w:t>
      </w:r>
    </w:p>
    <w:p w14:paraId="42CFE3BC"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b/>
          <w:sz w:val="28"/>
          <w:szCs w:val="28"/>
          <w:lang w:val="ro-RO"/>
        </w:rPr>
        <w:lastRenderedPageBreak/>
        <w:t>În concepția prezentei documentații,</w:t>
      </w:r>
      <w:r w:rsidRPr="0098775D">
        <w:rPr>
          <w:rFonts w:eastAsia="Times New Roman" w:cs="Times New Roman"/>
          <w:sz w:val="28"/>
          <w:szCs w:val="28"/>
          <w:lang w:val="ro-RO"/>
        </w:rPr>
        <w:t xml:space="preserve"> desființarea vizează construcțiile și amenajările componente degradate C1-C7 și face parte din reabilitarea și modernizarea aceleiași baze sportive. Destinația sportivă a imobilului, apartenența terenului la domeniul public și continuitatea bazei ca ansamblu funcțional și patrimonial se păstrează. Lucrările de desființare se vor autoriza potrivit Legii nr. 50/1991 și se vor realiza numai după actualizarea expertizei, parcurgerea operațiunilor patrimoniale și îndeplinirea condițiilor arheologice și de mediu aplicabile.</w:t>
      </w:r>
    </w:p>
    <w:p w14:paraId="3C607FFC" w14:textId="77777777" w:rsidR="00F65146" w:rsidRPr="0098775D" w:rsidRDefault="00B352D9">
      <w:pPr>
        <w:pStyle w:val="Titlu1"/>
        <w:spacing w:before="160" w:after="80" w:line="252" w:lineRule="auto"/>
        <w:rPr>
          <w:rFonts w:ascii="Times New Roman" w:hAnsi="Times New Roman" w:cs="Times New Roman"/>
          <w:sz w:val="28"/>
          <w:lang w:val="ro-RO"/>
        </w:rPr>
      </w:pPr>
      <w:r w:rsidRPr="0098775D">
        <w:rPr>
          <w:rFonts w:ascii="Times New Roman" w:eastAsia="Times New Roman" w:hAnsi="Times New Roman" w:cs="Times New Roman"/>
          <w:sz w:val="28"/>
          <w:lang w:val="ro-RO"/>
        </w:rPr>
        <w:t>5. Particularități ale amplasamentului propus pentru realizarea obiectivului</w:t>
      </w:r>
    </w:p>
    <w:p w14:paraId="5D1AB479"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a) Descrierea succintă a amplasamentului</w:t>
      </w:r>
    </w:p>
    <w:p w14:paraId="648A5C33"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Municipiul Focșani, str. Cuza Vodă nr. 61, intravilan, teren aproximativ plan, suprafață documentată 39.990 mp. Ridicarea topografică din 2023, recepționată de OCPI prin procesul-verbal nr. 683/24.02.2023 în sistem Stereo 70, va fi actualizată și completată în format editabil cu limite, cote, arbori, rețele, accesuri, construcții, pista și terenurile existente.</w:t>
      </w:r>
    </w:p>
    <w:p w14:paraId="2AFFECFE"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b) Relațiile cu zonele învecinate și accesuri</w:t>
      </w:r>
    </w:p>
    <w:p w14:paraId="3733854B"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Amplasamentul are legături documentate din str. Cuza Vodă și din zona str. Poligonului, în vecinătatea Poligonului de Tir Sportiv și a Spitalului Județean. Se vor asigura accese carosabile separate pentru public, sportivi și personal tehnic, precum și separarea circulației carosabile de cea pietonală. Aleile interioare vor respecta dimensiunile minime aplicabile din HG nr. 525/1996: 7,00 m pentru descongestionare, 3,50 m pentru circulația curentă și 6,00 m pentru serviciu și întreținere. Intrarea frontală va rămâne lizibilă și accesibilă din parcare, iar accesul comunitar va fi controlabil prin porți și program.</w:t>
      </w:r>
    </w:p>
    <w:p w14:paraId="4E8D70DA"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c) Surse de poluare existente</w:t>
      </w:r>
    </w:p>
    <w:p w14:paraId="232F3689"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Nu sunt documentate surse industriale incompatibile. Traficul rutier produce zgomot și pulberi, iar șantierul va genera temporar praf, zgomot, vibrații și deșeuri. Iluminatul va fi proiectat astfel încât să limiteze disconfortul și dispersia luminii spre vecinătăți.</w:t>
      </w:r>
    </w:p>
    <w:p w14:paraId="654BE95A"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d) Particularități de relief</w:t>
      </w:r>
    </w:p>
    <w:p w14:paraId="2C441BC1"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 xml:space="preserve">Terenul este predominant plan. Studiul geotehnic din mai 2023 indică terenuri </w:t>
      </w:r>
      <w:proofErr w:type="spellStart"/>
      <w:r w:rsidRPr="0098775D">
        <w:rPr>
          <w:rFonts w:eastAsia="Times New Roman" w:cs="Times New Roman"/>
          <w:sz w:val="28"/>
          <w:szCs w:val="28"/>
          <w:lang w:val="ro-RO"/>
        </w:rPr>
        <w:t>coezive</w:t>
      </w:r>
      <w:proofErr w:type="spellEnd"/>
      <w:r w:rsidRPr="0098775D">
        <w:rPr>
          <w:rFonts w:eastAsia="Times New Roman" w:cs="Times New Roman"/>
          <w:sz w:val="28"/>
          <w:szCs w:val="28"/>
          <w:lang w:val="ro-RO"/>
        </w:rPr>
        <w:t xml:space="preserve">, fără apă subterană întâlnită în cele șase foraje, categorie geotehnică 2 și risc geotehnic moderat (12 puncte), adâncime de îngheț 0,80-0,90 m, </w:t>
      </w:r>
      <w:proofErr w:type="spellStart"/>
      <w:r w:rsidRPr="0098775D">
        <w:rPr>
          <w:rFonts w:eastAsia="Times New Roman" w:cs="Times New Roman"/>
          <w:sz w:val="28"/>
          <w:szCs w:val="28"/>
          <w:lang w:val="ro-RO"/>
        </w:rPr>
        <w:t>ag</w:t>
      </w:r>
      <w:proofErr w:type="spellEnd"/>
      <w:r w:rsidRPr="0098775D">
        <w:rPr>
          <w:rFonts w:eastAsia="Times New Roman" w:cs="Times New Roman"/>
          <w:sz w:val="28"/>
          <w:szCs w:val="28"/>
          <w:lang w:val="ro-RO"/>
        </w:rPr>
        <w:t xml:space="preserve"> = 0,40 g și Tc = 1,0 s. Datele se confirmă prin referat geotehnic/actualizare adaptată noii soluții, inclusiv pentru platforme, drenuri, stâlpi de iluminat și tribuna modulară.</w:t>
      </w:r>
    </w:p>
    <w:p w14:paraId="4BE990D5"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lastRenderedPageBreak/>
        <w:t>e) Nivelul de echipare tehnico-edilitară</w:t>
      </w:r>
    </w:p>
    <w:p w14:paraId="5A660D6D"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 xml:space="preserve">Zona permite alimentarea cu energie electrică, apă și canalizare. Se vor verifica capacitățile și punctele reale de racordare. Clădirea nouă se va proiecta ca </w:t>
      </w:r>
      <w:proofErr w:type="spellStart"/>
      <w:r w:rsidRPr="0098775D">
        <w:rPr>
          <w:rFonts w:eastAsia="Times New Roman" w:cs="Times New Roman"/>
          <w:sz w:val="28"/>
          <w:szCs w:val="28"/>
          <w:lang w:val="ro-RO"/>
        </w:rPr>
        <w:t>nZEB</w:t>
      </w:r>
      <w:proofErr w:type="spellEnd"/>
      <w:r w:rsidRPr="0098775D">
        <w:rPr>
          <w:rFonts w:eastAsia="Times New Roman" w:cs="Times New Roman"/>
          <w:sz w:val="28"/>
          <w:szCs w:val="28"/>
          <w:lang w:val="ro-RO"/>
        </w:rPr>
        <w:t>, cu raport de conformare, certificat de performanță energetică și minimum 30% energie din surse regenerabile în consumul total de energie primară, potrivit Legii nr. 372/2005. Pentru parcarea adiacentă cu peste 10 locuri se vor prevedea minimum un punct de reîncărcare pentru vehicule electrice și infrastructura încastrată pentru cabluri pentru cel puțin 20% din locuri. Se vor utiliza soluții eficiente, contorizare separată și automatizarea irigațiilor; nu se impune racordarea la gaze naturale.</w:t>
      </w:r>
    </w:p>
    <w:p w14:paraId="181DE478"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f) Rețele edilitare în amplasament</w:t>
      </w:r>
    </w:p>
    <w:p w14:paraId="4DD28937"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Traseele rețelelor se identifică prin avizele de amplasament, planurile deținătorilor, ridicare topografică și sondaje/scanări. Înaintea demolării se vor debranșa legal utilitățile. Relocarea se admite numai dacă este justificată și avizată.</w:t>
      </w:r>
    </w:p>
    <w:p w14:paraId="20E6D09C"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g) Posibile obligații de servitute</w:t>
      </w:r>
    </w:p>
    <w:p w14:paraId="51DDAB0A"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Se vor verifica extrasul de carte funciară, inventarul domeniului public, servituțile de utilități, accesurile și orice drepturi născute din lucrările aprobate/realizate după 2023. Nu se va prezuma inexistența sarcinilor pe baza extraselor vechi.</w:t>
      </w:r>
    </w:p>
    <w:p w14:paraId="3FF78B94"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h) Condiționări constructive</w:t>
      </w:r>
    </w:p>
    <w:p w14:paraId="16B28AA7"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Se va proiecta și autoriza desființarea C1-C7, inclusiv a tribunelor C5-C6 cu toate spațiile/vestiarele de sub acestea, a fundațiilor, copertinelor, platformelor, împrejmuirilor/gardurilor, porților și instalațiilor degradate ori incompatibile. Anterior DTAD se actualizează expertiza pentru toate corpurile, se identifică exact C7 și elementele realizate în anul 2026 și se finalizează operațiunile juridice și patrimoniale: revocarea dreptului de administrare, trecerea individuală a construcțiilor din domeniul public în domeniul privat al Județului Vrancea, scoaterea din funcțiune/casarea, după caz, și aprobarea desființării. Se vor realiza auditul pre-demolare pentru azbest și alte materiale periculoase, debranșările, planul de gestionare și trasabilitate a deșeurilor, DTAD/DTOE și autorizația de desființare. După execuție se vor face recepția desființării, radierea cadastrală și actualizarea inventarului.</w:t>
      </w:r>
    </w:p>
    <w:p w14:paraId="5A7DF2FF"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i) Reglementări urbanistice aplicabile</w:t>
      </w:r>
    </w:p>
    <w:p w14:paraId="2CE001AC"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Certificatul de urbanism nr. 691/25.07.2023 este expirat și a fost emis pentru soluția veche. Se va obține certificat de urbanism nou pentru denumirea și tema actuale. Se vor aplica PUG Focșani 2024, aprobat prin HCL nr. 263/29.08.2024, RLU aferent și HG nr. 525/1996. Bilanțul teritorial va asigura minimum 30% spații verzi și plantate pentru construcții și amenajări sportive, precum și orice condiții mai restrictive stabilite prin noul certificat de urbanism și RLU; indicatorii istorici din PUG/2000 nu se preiau automat.</w:t>
      </w:r>
    </w:p>
    <w:p w14:paraId="28ACDF94"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lastRenderedPageBreak/>
        <w:t>j) Patrimoniu cultural și zone protejate</w:t>
      </w:r>
    </w:p>
    <w:p w14:paraId="0B09FE2C"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Amplasamentul se suprapune sitului arheologic «Fabrica de lumânări de la Focșani», înscris în Repertoriul Arheologic Național cu codul RAN 174753.26. Se vor respecta integral condițiile comunicate de Direcția Județeană pentru Cultură Vrancea prin adresa nr. 406/08.04.2026, document care se anexează Notei conceptuale, Temei de proiectare și documentației de atribuire a serviciilor de proiectare. Proiectantul va obține avizul D.J.C. pentru soluția actuală și va include, numai în forma și la momentul cerute de autoritatea de cultură, diagnosticul, cercetarea arheologică preventivă, supravegherea arheologică și/sau descărcarea de sarcină arheologică, prin specialiști atestați. Costurile și duratele aferente se includ în devizul general și în graficul de maximum 24 de luni. Nu se admit demolări, decopertări, săpături, fundații, drenuri sau rețele înaintea îndeplinirii condițiilor arheologice aplicabile.</w:t>
      </w:r>
    </w:p>
    <w:p w14:paraId="19688374" w14:textId="77777777" w:rsidR="00F65146" w:rsidRPr="0098775D" w:rsidRDefault="00B352D9">
      <w:pPr>
        <w:pStyle w:val="Titlu1"/>
        <w:spacing w:before="160" w:after="80" w:line="252" w:lineRule="auto"/>
        <w:rPr>
          <w:rFonts w:ascii="Times New Roman" w:hAnsi="Times New Roman" w:cs="Times New Roman"/>
          <w:sz w:val="28"/>
          <w:lang w:val="ro-RO"/>
        </w:rPr>
      </w:pPr>
      <w:r w:rsidRPr="0098775D">
        <w:rPr>
          <w:rFonts w:ascii="Times New Roman" w:eastAsia="Times New Roman" w:hAnsi="Times New Roman" w:cs="Times New Roman"/>
          <w:sz w:val="28"/>
          <w:lang w:val="ro-RO"/>
        </w:rPr>
        <w:t>6. Descrierea succintă a obiectivului de investiții propus, din punct de vedere tehnic și funcțional</w:t>
      </w:r>
    </w:p>
    <w:p w14:paraId="5987A5B9"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a) Destinație și funcțiuni</w:t>
      </w:r>
    </w:p>
    <w:p w14:paraId="43ED86F8"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Bază sportivă comunitară în aer liber pentru fotbal, rugby și atletism, precum și pentru alergare, pregătire fizică, activități școlare și de club. În proiectare vor fi avute în vedere cerințele tehnice aplicabile acestor ramuri, astfel încât soluția să nu limiteze posibilitatea solicitării ulterioare a omologării pentru una sau mai multe dintre ele. Nu se prevăd cerințe pentru Liga 1, competiții internaționale, presă internațională, nocturnă TV, parcare multietajată, instalații de încălzire a gazonului sau certificarea internațională a pistei.</w:t>
      </w:r>
    </w:p>
    <w:p w14:paraId="0A5FACFE" w14:textId="77777777" w:rsidR="00EB4CEE" w:rsidRPr="0098775D" w:rsidRDefault="003E6002">
      <w:pPr>
        <w:keepLines/>
        <w:spacing w:after="80"/>
        <w:ind w:firstLine="369"/>
        <w:rPr>
          <w:rFonts w:cs="Times New Roman"/>
          <w:sz w:val="28"/>
          <w:szCs w:val="28"/>
          <w:lang w:val="ro-RO"/>
        </w:rPr>
      </w:pPr>
      <w:r w:rsidRPr="0098775D">
        <w:rPr>
          <w:rFonts w:eastAsia="Times New Roman" w:cs="Times New Roman"/>
          <w:sz w:val="28"/>
          <w:szCs w:val="28"/>
          <w:lang w:val="ro-RO"/>
        </w:rPr>
        <w:t>Prin prezenta documentație nu se impune obținerea omologării pentru toate ramurile sportive și nici atingerea unui anumit nivel competițional. Dacă beneficiarul va opta ulterior pentru omologare, aceasta se va solicita distinct federației sportive competente, pentru ramura și nivelul urmărite, inclusiv, dacă soluția tehnică permite, pentru activități și competiții de copii și juniori ori de nivel național. Înscrierea în Registrul bazelor sportive omologate se va realiza ulterior omologării, potrivit Ordinului ministrului sportului nr. 359/2022.</w:t>
      </w:r>
    </w:p>
    <w:p w14:paraId="137C3809"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b) Caracteristici, parametri și date tehnice specifice preconizate</w:t>
      </w:r>
    </w:p>
    <w:tbl>
      <w:tblPr>
        <w:tblStyle w:val="Tabelgril"/>
        <w:tblW w:w="9360" w:type="dxa"/>
        <w:tblInd w:w="120" w:type="dxa"/>
        <w:tblLook w:val="04A0" w:firstRow="1" w:lastRow="0" w:firstColumn="1" w:lastColumn="0" w:noHBand="0" w:noVBand="1"/>
      </w:tblPr>
      <w:tblGrid>
        <w:gridCol w:w="2500"/>
        <w:gridCol w:w="4000"/>
        <w:gridCol w:w="2860"/>
      </w:tblGrid>
      <w:tr w:rsidR="00F65146" w:rsidRPr="0098775D" w14:paraId="33B3F371" w14:textId="77777777">
        <w:trPr>
          <w:cantSplit/>
          <w:tblHeader/>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F7E67BF"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Componentă</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F5EBFE3"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Parametru minim/țintă</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0F43578" w14:textId="77777777" w:rsidR="00F65146" w:rsidRPr="0098775D" w:rsidRDefault="00B352D9">
            <w:pPr>
              <w:spacing w:after="20" w:line="240" w:lineRule="auto"/>
              <w:jc w:val="center"/>
              <w:rPr>
                <w:rFonts w:cs="Times New Roman"/>
                <w:sz w:val="28"/>
                <w:szCs w:val="28"/>
                <w:lang w:val="ro-RO"/>
              </w:rPr>
            </w:pPr>
            <w:r w:rsidRPr="0098775D">
              <w:rPr>
                <w:rFonts w:eastAsia="Times New Roman" w:cs="Times New Roman"/>
                <w:b/>
                <w:sz w:val="28"/>
                <w:szCs w:val="28"/>
                <w:lang w:val="ro-RO"/>
              </w:rPr>
              <w:t>Condiție</w:t>
            </w:r>
          </w:p>
        </w:tc>
      </w:tr>
      <w:tr w:rsidR="00F65146" w:rsidRPr="0098775D" w14:paraId="4090E537"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98F0E65"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Teren principal</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027FD97"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Suprafață de joc fotbal 105 x 68 m; gazon natural prin însămânțare; drenaj și irigații automate</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938513A"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Prioritate P1; zone de siguranță conform nivelului de utilizare</w:t>
            </w:r>
          </w:p>
        </w:tc>
      </w:tr>
      <w:tr w:rsidR="00F65146" w:rsidRPr="0098775D" w14:paraId="3CA56441"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1B6478D"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lastRenderedPageBreak/>
              <w:t>Compatibilitate rugby</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8E3942A"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Marcaje și echipamente demontabile; zona de joc și terenurile de țintă validate de FRR</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DB7BB9D"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Geometria va permite analizarea unei omologări ulterioare, fără caracter obligatoriu</w:t>
            </w:r>
          </w:p>
        </w:tc>
      </w:tr>
      <w:tr w:rsidR="00F65146" w:rsidRPr="0098775D" w14:paraId="209EC925"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003F2F2"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Pistă</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28C05E2"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Lungime geometrică țintă cca 400 m; minimum 4 culoare circulare, țintă 6; linie dreaptă extinsă dacă încape</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0CA6C04"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Cerințe tehnice aplicabile atletismului; fără certificare World Athletics obligatorie</w:t>
            </w:r>
          </w:p>
        </w:tc>
      </w:tr>
      <w:tr w:rsidR="00F65146" w:rsidRPr="0098775D" w14:paraId="200AD64F"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697554E"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Teren secundar</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76B04209"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Țintă 105 x 68 m, gazon sintetic multifuncțional și plase de protecție</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2E25605" w14:textId="77777777" w:rsidR="00F65146" w:rsidRPr="0098775D" w:rsidRDefault="00B352D9" w:rsidP="001E4141">
            <w:pPr>
              <w:spacing w:after="20" w:line="240" w:lineRule="auto"/>
              <w:jc w:val="center"/>
              <w:rPr>
                <w:rFonts w:cs="Times New Roman"/>
                <w:sz w:val="28"/>
                <w:szCs w:val="28"/>
                <w:lang w:val="ro-RO"/>
              </w:rPr>
            </w:pPr>
            <w:r w:rsidRPr="0098775D">
              <w:rPr>
                <w:rFonts w:eastAsia="Times New Roman" w:cs="Times New Roman"/>
                <w:sz w:val="28"/>
                <w:szCs w:val="28"/>
                <w:lang w:val="ro-RO"/>
              </w:rPr>
              <w:t>Componentă P3</w:t>
            </w:r>
          </w:p>
        </w:tc>
      </w:tr>
      <w:tr w:rsidR="00F65146" w:rsidRPr="0098775D" w14:paraId="37A3D25D"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ACC5C08"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Tribună</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CF375BF"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500 locuri inițial, inclusiv minimum 20 poziții pentru utilizatori de fotoliu rulant, cu locuri pentru însoțitori; rezervă de extindere până la maximum 1.000</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52F90E3B"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Sistem modular; acoperire parțială dacă soluția aprobată o permite</w:t>
            </w:r>
          </w:p>
        </w:tc>
      </w:tr>
      <w:tr w:rsidR="00F65146" w:rsidRPr="0098775D" w14:paraId="62F3AB75"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2CA06F7"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Clădire anexă</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B79E8A7"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Regim P, structură ușoară/modulară; aproximativ 320-420 mp construiți</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EDF2DFA"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Program util țintă 260-340 mp</w:t>
            </w:r>
          </w:p>
        </w:tc>
      </w:tr>
      <w:tr w:rsidR="00F65146" w:rsidRPr="0098775D" w14:paraId="73390186"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90586F7"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Acces și parcare</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41774F1"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Parcare la sol: reper 25-100 locuri la 500 spectatori, plus 1-3 autocare; minimum 4% locuri accesibile, dar nu mai puțin de două; biciclete și acces intervenție/serviciu</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32EE18C5"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Dimensionare finală prin RLU și studiu actualizat, fără coborârea sub cerința locală</w:t>
            </w:r>
          </w:p>
        </w:tc>
      </w:tr>
      <w:tr w:rsidR="00F65146" w:rsidRPr="0098775D" w14:paraId="58754E82"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6CFC6837"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Împrejmuire</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A36ED9C"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Plasă metalică transparentă pe laterale; fațadă de acces deschisă vizual și porți controlate</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1846353E"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Înălțimi adaptate securității și opririi mingilor</w:t>
            </w:r>
          </w:p>
        </w:tc>
      </w:tr>
      <w:tr w:rsidR="00F65146" w:rsidRPr="0098775D" w14:paraId="4073E315"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2751B9E7"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Iluminat</w:t>
            </w:r>
          </w:p>
        </w:tc>
        <w:tc>
          <w:tcPr>
            <w:tcW w:w="400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0555A33F"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LED pentru siguranță, antrenament și utilizare comunitară</w:t>
            </w:r>
          </w:p>
        </w:tc>
        <w:tc>
          <w:tcPr>
            <w:tcW w:w="2860" w:type="dxa"/>
            <w:tcBorders>
              <w:top w:val="single" w:sz="4" w:space="0" w:color="000000"/>
              <w:left w:val="single" w:sz="4" w:space="0" w:color="000000"/>
              <w:bottom w:val="single" w:sz="4" w:space="0" w:color="000000"/>
              <w:right w:val="single" w:sz="4" w:space="0" w:color="000000"/>
            </w:tcBorders>
            <w:tcMar>
              <w:top w:w="90" w:type="dxa"/>
              <w:left w:w="120" w:type="dxa"/>
              <w:bottom w:w="90" w:type="dxa"/>
              <w:right w:w="120" w:type="dxa"/>
            </w:tcMar>
            <w:vAlign w:val="center"/>
          </w:tcPr>
          <w:p w14:paraId="41645093" w14:textId="77777777" w:rsidR="00F65146" w:rsidRPr="0098775D" w:rsidRDefault="00B352D9">
            <w:pPr>
              <w:spacing w:after="20" w:line="240" w:lineRule="auto"/>
              <w:rPr>
                <w:rFonts w:cs="Times New Roman"/>
                <w:sz w:val="28"/>
                <w:szCs w:val="28"/>
                <w:lang w:val="ro-RO"/>
              </w:rPr>
            </w:pPr>
            <w:r w:rsidRPr="0098775D">
              <w:rPr>
                <w:rFonts w:eastAsia="Times New Roman" w:cs="Times New Roman"/>
                <w:sz w:val="28"/>
                <w:szCs w:val="28"/>
                <w:lang w:val="ro-RO"/>
              </w:rPr>
              <w:t>Fără cerințe TV/internaționale; limitarea poluării luminoase</w:t>
            </w:r>
          </w:p>
        </w:tc>
      </w:tr>
    </w:tbl>
    <w:p w14:paraId="38DB61A3" w14:textId="77777777" w:rsidR="00F65146" w:rsidRPr="0098775D" w:rsidRDefault="00F65146">
      <w:pPr>
        <w:spacing w:after="80"/>
        <w:rPr>
          <w:rFonts w:cs="Times New Roman"/>
          <w:sz w:val="28"/>
          <w:szCs w:val="28"/>
          <w:lang w:val="ro-RO"/>
        </w:rPr>
      </w:pPr>
    </w:p>
    <w:p w14:paraId="533D8F38"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lastRenderedPageBreak/>
        <w:t>c) Durata minimă de funcționare</w:t>
      </w:r>
    </w:p>
    <w:p w14:paraId="7BAC2B7C"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 xml:space="preserve">Se urmăresc: minimum 30 ani pentru structurile și lucrările civile, potrivit duratelor normate și întreținerii; minimum 20 ani pentru drenaj și infrastructurile îngropate; minimum 10 ani pentru sistemele sintetice, instalațiile și echipamentele principale, cu înlocuirea planificată a straturilor de uzură; pentru gazonul natural, menținerea continuă prin program de întreținere și </w:t>
      </w:r>
      <w:proofErr w:type="spellStart"/>
      <w:r w:rsidRPr="0098775D">
        <w:rPr>
          <w:rFonts w:eastAsia="Times New Roman" w:cs="Times New Roman"/>
          <w:sz w:val="28"/>
          <w:szCs w:val="28"/>
          <w:lang w:val="ro-RO"/>
        </w:rPr>
        <w:t>reînsămânțare</w:t>
      </w:r>
      <w:proofErr w:type="spellEnd"/>
      <w:r w:rsidRPr="0098775D">
        <w:rPr>
          <w:rFonts w:eastAsia="Times New Roman" w:cs="Times New Roman"/>
          <w:sz w:val="28"/>
          <w:szCs w:val="28"/>
          <w:lang w:val="ro-RO"/>
        </w:rPr>
        <w:t>.</w:t>
      </w:r>
    </w:p>
    <w:p w14:paraId="170D3394" w14:textId="77777777" w:rsidR="00F65146" w:rsidRPr="0098775D" w:rsidRDefault="00B352D9">
      <w:pPr>
        <w:pStyle w:val="Titlu2"/>
        <w:spacing w:before="100" w:after="60" w:line="252" w:lineRule="auto"/>
        <w:rPr>
          <w:rFonts w:ascii="Times New Roman" w:hAnsi="Times New Roman" w:cs="Times New Roman"/>
          <w:sz w:val="28"/>
          <w:szCs w:val="28"/>
          <w:lang w:val="ro-RO"/>
        </w:rPr>
      </w:pPr>
      <w:r w:rsidRPr="0098775D">
        <w:rPr>
          <w:rFonts w:ascii="Times New Roman" w:eastAsia="Times New Roman" w:hAnsi="Times New Roman" w:cs="Times New Roman"/>
          <w:sz w:val="28"/>
          <w:szCs w:val="28"/>
          <w:lang w:val="ro-RO"/>
        </w:rPr>
        <w:t>d) Nevoi/solicitări funcționale specifice</w:t>
      </w:r>
    </w:p>
    <w:p w14:paraId="70806E3C"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acces comunitar zilnic, pe intervale și trasee definite prin regulament, fără afectarea antrenamentelor și jocurilor programate;</w:t>
      </w:r>
    </w:p>
    <w:p w14:paraId="0A11D9DA"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separarea fluxurilor sportivi/public/serviciu/intervenție și evacuarea sigură;</w:t>
      </w:r>
    </w:p>
    <w:p w14:paraId="69DF42F4"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accesibilitate continuă de la parcare și intrare până la tribună, grup sanitar, vestiar și zonele de activitate, astfel încât utilizarea să fie posibilă în calitate de spectator, sportiv și organizator; pentru tribuna de 500 de locuri se prevăd minimum 20 de poziții pentru utilizatori de fotoliu rulant, cu locuri alăturate pentru însoțitori, conform NP 051-2012;</w:t>
      </w:r>
    </w:p>
    <w:p w14:paraId="351884C6"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suprafețe sportive drenate, fără băltiri, cu sisteme ușor de reparat și costuri de întreținere declarate;</w:t>
      </w:r>
    </w:p>
    <w:p w14:paraId="08AA7C9F"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program de exploatare și mentenanță, personal minim, buget anual și manuale predate la recepție;</w:t>
      </w:r>
    </w:p>
    <w:p w14:paraId="0F7B8754"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durata totală până la recepția la terminarea lucrărilor de maximum 24 luni; perioada de garanție și recepția finală se derulează ulterior, conform legii.</w:t>
      </w:r>
    </w:p>
    <w:p w14:paraId="11035166" w14:textId="77777777" w:rsidR="00F65146" w:rsidRPr="0098775D" w:rsidRDefault="00B352D9">
      <w:pPr>
        <w:pStyle w:val="Titlu1"/>
        <w:spacing w:before="160" w:after="80" w:line="252" w:lineRule="auto"/>
        <w:rPr>
          <w:rFonts w:ascii="Times New Roman" w:hAnsi="Times New Roman" w:cs="Times New Roman"/>
          <w:sz w:val="28"/>
          <w:lang w:val="ro-RO"/>
        </w:rPr>
      </w:pPr>
      <w:r w:rsidRPr="0098775D">
        <w:rPr>
          <w:rFonts w:ascii="Times New Roman" w:eastAsia="Times New Roman" w:hAnsi="Times New Roman" w:cs="Times New Roman"/>
          <w:sz w:val="28"/>
          <w:lang w:val="ro-RO"/>
        </w:rPr>
        <w:t>7. Justificarea necesității elaborării studiilor și documentațiilor</w:t>
      </w:r>
    </w:p>
    <w:p w14:paraId="47566C27" w14:textId="77777777" w:rsidR="00F65146" w:rsidRPr="0098775D" w:rsidRDefault="00B352D9">
      <w:pPr>
        <w:keepLines/>
        <w:spacing w:after="80"/>
        <w:ind w:firstLine="369"/>
        <w:rPr>
          <w:rFonts w:cs="Times New Roman"/>
          <w:sz w:val="28"/>
          <w:szCs w:val="28"/>
          <w:lang w:val="ro-RO"/>
        </w:rPr>
      </w:pPr>
      <w:r w:rsidRPr="0098775D">
        <w:rPr>
          <w:rFonts w:eastAsia="Times New Roman" w:cs="Times New Roman"/>
          <w:sz w:val="28"/>
          <w:szCs w:val="28"/>
          <w:lang w:val="ro-RO"/>
        </w:rPr>
        <w:t>Nu se justifică un studiu de prefezabilitate, deoarece investiția nu este proiect major în sensul HG nr. 907/2016, amplasamentul este determinat, iar nevoia este clară. Fiind un obiectiv mixt - demolări și intervenții la construcții/amenajări existente, împreună cu obiecte noi - se va elabora un studiu de fezabilitate completat cu elementele specifice DALI, conform art. 5 alin. (1) lit. c) și art. 8 din HG nr. 907/2016.</w:t>
      </w:r>
    </w:p>
    <w:p w14:paraId="597FF38D"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expertiză tehnică actualizată, cu inventarierea tuturor corpurilor, fundațiilor, tribunelor, împrejmuirilor și elementelor executate după 2023;</w:t>
      </w:r>
    </w:p>
    <w:p w14:paraId="1CAF4AD5"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ridicare topografică și documentație cadastrală actualizate, corelate cu HCJ nr. 81/2026 și nr. 87/2026;</w:t>
      </w:r>
    </w:p>
    <w:p w14:paraId="0BD6825B"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 actualizare geotehnică și investigații pentru suprafețe sportive, platforme, stâlpi și construcții modulare;</w:t>
      </w:r>
    </w:p>
    <w:p w14:paraId="3F53A0A5"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audit pre-demolare pentru azbest/materiale periculoase, debranșări, plan de gestionare a deșeurilor și documentație DTAD; pentru deșeurile nepericuloase din construcții și desființări se va asigura minimum 70% în masă pregătire pentru reutilizare, reciclare și alte operațiuni de valorificare materială, cu trasabilitate, potrivit OUG nr. 92/2021; documentație arheologică și investigații conform adresei D.J.C. Vrancea nr. 406/08.04.2026 și avizului actual;</w:t>
      </w:r>
    </w:p>
    <w:p w14:paraId="0646ADA4"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lastRenderedPageBreak/>
        <w:t>studiu de circulație/parcare proporționat cu capacitatea de maximum 500 de locuri inițial, verificând reperul de un loc de parcare la 5-20 de locuri în tribună, respectiv 25-100 de locuri, plus 1-3 locuri pentru autocare și minimum 4% locuri accesibile, dar nu mai puțin de două, fără a coborî sub cerințele RLU aplicabil;</w:t>
      </w:r>
    </w:p>
    <w:p w14:paraId="60801BEE"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 xml:space="preserve">analize pentru drenaj, gospodărirea apelor pluviale, irigații, iluminat, bilanțul utilităților, conformarea </w:t>
      </w:r>
      <w:proofErr w:type="spellStart"/>
      <w:r w:rsidRPr="0098775D">
        <w:rPr>
          <w:rFonts w:eastAsia="Times New Roman" w:cs="Times New Roman"/>
          <w:sz w:val="28"/>
          <w:szCs w:val="28"/>
          <w:lang w:val="ro-RO"/>
        </w:rPr>
        <w:t>nZEB</w:t>
      </w:r>
      <w:proofErr w:type="spellEnd"/>
      <w:r w:rsidRPr="0098775D">
        <w:rPr>
          <w:rFonts w:eastAsia="Times New Roman" w:cs="Times New Roman"/>
          <w:sz w:val="28"/>
          <w:szCs w:val="28"/>
          <w:lang w:val="ro-RO"/>
        </w:rPr>
        <w:t xml:space="preserve"> și costul ciclului de viață;</w:t>
      </w:r>
    </w:p>
    <w:p w14:paraId="2DBC71DF" w14:textId="77777777" w:rsidR="00F65146" w:rsidRPr="0098775D" w:rsidRDefault="00B352D9">
      <w:pPr>
        <w:pStyle w:val="Listcumarcatori"/>
        <w:keepLines/>
        <w:spacing w:after="40"/>
        <w:ind w:left="369"/>
        <w:rPr>
          <w:rFonts w:cs="Times New Roman"/>
          <w:sz w:val="28"/>
          <w:szCs w:val="28"/>
          <w:lang w:val="ro-RO"/>
        </w:rPr>
      </w:pPr>
      <w:r w:rsidRPr="0098775D">
        <w:rPr>
          <w:rFonts w:eastAsia="Times New Roman" w:cs="Times New Roman"/>
          <w:sz w:val="28"/>
          <w:szCs w:val="28"/>
          <w:lang w:val="ro-RO"/>
        </w:rPr>
        <w:t>documentații distincte și actuale pentru mediu, sănătate publică, securitate la incendiu și toate avizele impuse prin noul certificat de urbanism; evaluarea riscului la securitate fizică prin analiza de risc sau fișa de securitate, după încadrarea prevăzută de Legea nr. 333/2003, astfel cum a fost modificată inclusiv prin OUG nr. 37/2026, și actele subsecvente; aplicarea Legii nr. 4/2008 pentru jocurile oficiale.</w:t>
      </w:r>
    </w:p>
    <w:p w14:paraId="3A8AF533" w14:textId="77777777" w:rsidR="00006F2B" w:rsidRPr="0098775D" w:rsidRDefault="00006F2B" w:rsidP="00006F2B">
      <w:pPr>
        <w:spacing w:after="80"/>
        <w:rPr>
          <w:rFonts w:cs="Times New Roman"/>
          <w:sz w:val="28"/>
          <w:szCs w:val="28"/>
          <w:lang w:val="ro-RO"/>
        </w:rPr>
      </w:pPr>
    </w:p>
    <w:p w14:paraId="7FED7D57" w14:textId="77777777" w:rsidR="00006F2B" w:rsidRPr="0098775D" w:rsidRDefault="00006F2B" w:rsidP="00006F2B">
      <w:pPr>
        <w:spacing w:after="80"/>
        <w:ind w:firstLine="369"/>
        <w:rPr>
          <w:rFonts w:cs="Times New Roman"/>
          <w:sz w:val="28"/>
          <w:szCs w:val="28"/>
          <w:lang w:val="ro-RO"/>
        </w:rPr>
      </w:pPr>
      <w:r w:rsidRPr="0098775D">
        <w:rPr>
          <w:rFonts w:eastAsia="Times New Roman" w:cs="Times New Roman"/>
          <w:sz w:val="28"/>
          <w:szCs w:val="28"/>
          <w:lang w:val="ro-RO"/>
        </w:rPr>
        <w:t>Data: ______________</w:t>
      </w:r>
    </w:p>
    <w:p w14:paraId="54EE6E50" w14:textId="77777777" w:rsidR="00006F2B" w:rsidRPr="0098775D" w:rsidRDefault="00006F2B" w:rsidP="00006F2B">
      <w:pPr>
        <w:spacing w:after="80"/>
        <w:rPr>
          <w:rFonts w:cs="Times New Roman"/>
          <w:sz w:val="28"/>
          <w:szCs w:val="28"/>
          <w:lang w:val="ro-RO"/>
        </w:rPr>
      </w:pPr>
    </w:p>
    <w:tbl>
      <w:tblPr>
        <w:tblStyle w:val="Tabelgril"/>
        <w:tblW w:w="9927" w:type="dxa"/>
        <w:tblLook w:val="04A0" w:firstRow="1" w:lastRow="0" w:firstColumn="1" w:lastColumn="0" w:noHBand="0" w:noVBand="1"/>
      </w:tblPr>
      <w:tblGrid>
        <w:gridCol w:w="4820"/>
        <w:gridCol w:w="5107"/>
      </w:tblGrid>
      <w:tr w:rsidR="00174C99" w:rsidRPr="00CA312A" w14:paraId="174383E5" w14:textId="77777777" w:rsidTr="001323D4">
        <w:trPr>
          <w:cantSplit/>
          <w:tblHeader/>
        </w:trPr>
        <w:tc>
          <w:tcPr>
            <w:tcW w:w="4820" w:type="dxa"/>
            <w:tcBorders>
              <w:top w:val="nil"/>
              <w:left w:val="nil"/>
              <w:bottom w:val="nil"/>
              <w:right w:val="nil"/>
            </w:tcBorders>
          </w:tcPr>
          <w:p w14:paraId="1D73C6B9" w14:textId="77777777" w:rsidR="00174C99" w:rsidRDefault="00174C99" w:rsidP="001323D4">
            <w:pPr>
              <w:spacing w:after="20" w:line="240" w:lineRule="auto"/>
              <w:ind w:left="-104" w:right="-102"/>
              <w:jc w:val="center"/>
              <w:rPr>
                <w:rFonts w:eastAsia="Times New Roman" w:cs="Times New Roman"/>
                <w:b/>
                <w:sz w:val="28"/>
                <w:szCs w:val="28"/>
                <w:lang w:val="ro-RO"/>
              </w:rPr>
            </w:pPr>
            <w:r w:rsidRPr="00CA312A">
              <w:rPr>
                <w:rFonts w:eastAsia="Times New Roman" w:cs="Times New Roman"/>
                <w:b/>
                <w:sz w:val="28"/>
                <w:szCs w:val="28"/>
                <w:lang w:val="ro-RO"/>
              </w:rPr>
              <w:t>Întocmit</w:t>
            </w:r>
            <w:r w:rsidRPr="00CA312A">
              <w:rPr>
                <w:rFonts w:eastAsia="Times New Roman" w:cs="Times New Roman"/>
                <w:b/>
                <w:sz w:val="28"/>
                <w:szCs w:val="28"/>
                <w:lang w:val="ro-RO"/>
              </w:rPr>
              <w:br/>
              <w:t>Consiliul Județean Vrancea</w:t>
            </w:r>
          </w:p>
          <w:p w14:paraId="7D9B6D7D" w14:textId="77777777" w:rsidR="00174C99" w:rsidRDefault="00174C99" w:rsidP="001323D4">
            <w:pPr>
              <w:spacing w:after="20" w:line="240" w:lineRule="auto"/>
              <w:jc w:val="center"/>
              <w:rPr>
                <w:rFonts w:eastAsia="Times New Roman" w:cs="Times New Roman"/>
                <w:b/>
                <w:sz w:val="28"/>
                <w:szCs w:val="28"/>
                <w:lang w:val="ro-RO"/>
              </w:rPr>
            </w:pPr>
            <w:r w:rsidRPr="00CA312A">
              <w:rPr>
                <w:rFonts w:eastAsia="Times New Roman" w:cs="Times New Roman"/>
                <w:b/>
                <w:sz w:val="28"/>
                <w:szCs w:val="28"/>
                <w:lang w:val="ro-RO"/>
              </w:rPr>
              <w:br/>
              <w:t>Serviciul Dezvoltare, Investiții și Finanțări</w:t>
            </w:r>
          </w:p>
          <w:p w14:paraId="4EC43CC9" w14:textId="77777777" w:rsidR="00174C99" w:rsidRDefault="00174C99" w:rsidP="001323D4">
            <w:pPr>
              <w:spacing w:after="20" w:line="240" w:lineRule="auto"/>
              <w:jc w:val="center"/>
              <w:rPr>
                <w:rFonts w:eastAsia="Times New Roman" w:cs="Times New Roman"/>
                <w:b/>
                <w:sz w:val="28"/>
                <w:szCs w:val="28"/>
                <w:lang w:val="ro-RO"/>
              </w:rPr>
            </w:pPr>
            <w:r w:rsidRPr="00CA312A">
              <w:rPr>
                <w:rFonts w:eastAsia="Times New Roman" w:cs="Times New Roman"/>
                <w:b/>
                <w:sz w:val="28"/>
                <w:szCs w:val="28"/>
                <w:lang w:val="ro-RO"/>
              </w:rPr>
              <w:br/>
              <w:t xml:space="preserve">Nume și prenume: </w:t>
            </w:r>
          </w:p>
          <w:p w14:paraId="595CC5E8" w14:textId="77777777" w:rsidR="00174C99" w:rsidRPr="00CA312A" w:rsidRDefault="00174C99" w:rsidP="001323D4">
            <w:pPr>
              <w:spacing w:after="20" w:line="240" w:lineRule="auto"/>
              <w:jc w:val="center"/>
              <w:rPr>
                <w:rFonts w:cs="Times New Roman"/>
                <w:sz w:val="28"/>
                <w:szCs w:val="28"/>
                <w:lang w:val="ro-RO"/>
              </w:rPr>
            </w:pPr>
            <w:r>
              <w:rPr>
                <w:rFonts w:eastAsia="Times New Roman" w:cs="Times New Roman"/>
                <w:b/>
                <w:sz w:val="28"/>
                <w:szCs w:val="28"/>
                <w:lang w:val="ro-RO"/>
              </w:rPr>
              <w:t xml:space="preserve">Ghiță Alexandru </w:t>
            </w:r>
            <w:r w:rsidRPr="00CA312A">
              <w:rPr>
                <w:rFonts w:eastAsia="Times New Roman" w:cs="Times New Roman"/>
                <w:b/>
                <w:sz w:val="28"/>
                <w:szCs w:val="28"/>
                <w:lang w:val="ro-RO"/>
              </w:rPr>
              <w:br/>
              <w:t xml:space="preserve">Semnătura: </w:t>
            </w:r>
          </w:p>
        </w:tc>
        <w:tc>
          <w:tcPr>
            <w:tcW w:w="5107" w:type="dxa"/>
            <w:tcBorders>
              <w:top w:val="nil"/>
              <w:left w:val="nil"/>
              <w:bottom w:val="nil"/>
              <w:right w:val="nil"/>
            </w:tcBorders>
            <w:tcMar>
              <w:top w:w="90" w:type="dxa"/>
              <w:left w:w="120" w:type="dxa"/>
              <w:bottom w:w="90" w:type="dxa"/>
              <w:right w:w="120" w:type="dxa"/>
            </w:tcMar>
            <w:vAlign w:val="center"/>
          </w:tcPr>
          <w:p w14:paraId="57213BC8" w14:textId="77777777" w:rsidR="00174C99" w:rsidRPr="00E22B6E" w:rsidRDefault="00174C99" w:rsidP="001323D4">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t>Verificat</w:t>
            </w:r>
            <w:r w:rsidRPr="00E22B6E">
              <w:rPr>
                <w:rFonts w:eastAsia="Times New Roman" w:cs="Times New Roman"/>
                <w:b/>
                <w:sz w:val="28"/>
                <w:szCs w:val="28"/>
                <w:lang w:val="ro-RO"/>
              </w:rPr>
              <w:br/>
              <w:t>Consiliul Județean Vrancea</w:t>
            </w:r>
            <w:r w:rsidRPr="00E22B6E">
              <w:rPr>
                <w:rFonts w:eastAsia="Times New Roman" w:cs="Times New Roman"/>
                <w:b/>
                <w:sz w:val="28"/>
                <w:szCs w:val="28"/>
                <w:lang w:val="ro-RO"/>
              </w:rPr>
              <w:br/>
            </w:r>
          </w:p>
          <w:p w14:paraId="30FF5414" w14:textId="77777777" w:rsidR="00174C99" w:rsidRPr="00E22B6E" w:rsidRDefault="00174C99" w:rsidP="001323D4">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t>Serviciul Dezvoltare, Investiții și Finanțări</w:t>
            </w:r>
          </w:p>
          <w:p w14:paraId="4E4956BC" w14:textId="77777777" w:rsidR="00174C99" w:rsidRPr="00E22B6E" w:rsidRDefault="00174C99" w:rsidP="001323D4">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br/>
              <w:t xml:space="preserve">Nume și prenume: </w:t>
            </w:r>
          </w:p>
          <w:p w14:paraId="6E915178" w14:textId="2F1F0837" w:rsidR="00174C99" w:rsidRDefault="00174C99" w:rsidP="001323D4">
            <w:pPr>
              <w:spacing w:after="0" w:line="240" w:lineRule="auto"/>
              <w:ind w:firstLine="23"/>
              <w:jc w:val="center"/>
              <w:rPr>
                <w:rFonts w:eastAsia="Times New Roman" w:cs="Times New Roman"/>
                <w:b/>
                <w:sz w:val="28"/>
                <w:szCs w:val="28"/>
                <w:lang w:val="ro-RO"/>
              </w:rPr>
            </w:pPr>
            <w:r w:rsidRPr="00E22B6E">
              <w:rPr>
                <w:rFonts w:eastAsia="Times New Roman" w:cs="Times New Roman"/>
                <w:b/>
                <w:sz w:val="28"/>
                <w:szCs w:val="28"/>
                <w:lang w:val="ro-RO"/>
              </w:rPr>
              <w:t xml:space="preserve">Sebastian Sandu </w:t>
            </w:r>
            <w:r w:rsidRPr="00E22B6E">
              <w:rPr>
                <w:rFonts w:eastAsia="Times New Roman" w:cs="Times New Roman"/>
                <w:b/>
                <w:sz w:val="28"/>
                <w:szCs w:val="28"/>
                <w:lang w:val="ro-RO"/>
              </w:rPr>
              <w:br/>
              <w:t xml:space="preserve">Semnătura: </w:t>
            </w:r>
          </w:p>
          <w:p w14:paraId="57EF6D5E" w14:textId="77777777" w:rsidR="00174C99" w:rsidRPr="00CA312A" w:rsidRDefault="00174C99" w:rsidP="001323D4">
            <w:pPr>
              <w:spacing w:after="0" w:line="240" w:lineRule="auto"/>
              <w:ind w:firstLine="23"/>
              <w:jc w:val="center"/>
              <w:rPr>
                <w:rFonts w:cs="Times New Roman"/>
                <w:sz w:val="28"/>
                <w:szCs w:val="28"/>
                <w:lang w:val="ro-RO"/>
              </w:rPr>
            </w:pPr>
          </w:p>
        </w:tc>
      </w:tr>
    </w:tbl>
    <w:p w14:paraId="58D5B227" w14:textId="77777777" w:rsidR="00006F2B" w:rsidRPr="0098775D" w:rsidRDefault="00006F2B" w:rsidP="00006F2B">
      <w:pPr>
        <w:spacing w:after="80"/>
        <w:ind w:firstLine="369"/>
        <w:rPr>
          <w:rFonts w:cs="Times New Roman"/>
          <w:b/>
          <w:bCs/>
          <w:sz w:val="28"/>
          <w:szCs w:val="28"/>
          <w:lang w:val="ro-RO"/>
        </w:rPr>
      </w:pPr>
    </w:p>
    <w:p w14:paraId="192071AA" w14:textId="77777777" w:rsidR="00006F2B" w:rsidRPr="0098775D" w:rsidRDefault="00006F2B" w:rsidP="00006F2B">
      <w:pPr>
        <w:spacing w:after="0" w:line="240" w:lineRule="auto"/>
        <w:ind w:firstLine="369"/>
        <w:rPr>
          <w:rFonts w:cs="Times New Roman"/>
          <w:b/>
          <w:bCs/>
          <w:sz w:val="28"/>
          <w:szCs w:val="28"/>
          <w:lang w:val="ro-RO"/>
        </w:rPr>
      </w:pPr>
    </w:p>
    <w:p w14:paraId="0CB54507" w14:textId="77777777" w:rsidR="00006F2B" w:rsidRPr="0098775D" w:rsidRDefault="00006F2B" w:rsidP="00006F2B">
      <w:pPr>
        <w:widowControl w:val="0"/>
        <w:spacing w:after="0" w:line="240" w:lineRule="auto"/>
        <w:jc w:val="center"/>
        <w:rPr>
          <w:rFonts w:cs="Times New Roman"/>
          <w:b/>
          <w:sz w:val="28"/>
          <w:szCs w:val="28"/>
          <w:lang w:val="ro-RO"/>
        </w:rPr>
      </w:pPr>
      <w:r w:rsidRPr="0098775D">
        <w:rPr>
          <w:rFonts w:cs="Times New Roman"/>
          <w:b/>
          <w:sz w:val="28"/>
          <w:szCs w:val="28"/>
          <w:lang w:val="ro-RO"/>
        </w:rPr>
        <w:t>Președintele</w:t>
      </w:r>
    </w:p>
    <w:p w14:paraId="2125CED9" w14:textId="77777777" w:rsidR="00006F2B" w:rsidRPr="0098775D" w:rsidRDefault="00006F2B" w:rsidP="00006F2B">
      <w:pPr>
        <w:widowControl w:val="0"/>
        <w:spacing w:after="0" w:line="240" w:lineRule="auto"/>
        <w:jc w:val="center"/>
        <w:rPr>
          <w:rFonts w:cs="Times New Roman"/>
          <w:b/>
          <w:sz w:val="28"/>
          <w:szCs w:val="28"/>
          <w:lang w:val="ro-RO"/>
        </w:rPr>
      </w:pPr>
      <w:r w:rsidRPr="0098775D">
        <w:rPr>
          <w:rFonts w:cs="Times New Roman"/>
          <w:b/>
          <w:sz w:val="28"/>
          <w:szCs w:val="28"/>
          <w:lang w:val="ro-RO"/>
        </w:rPr>
        <w:t>Consiliului Județean Vrancea</w:t>
      </w:r>
    </w:p>
    <w:p w14:paraId="427D223D" w14:textId="77777777" w:rsidR="00006F2B" w:rsidRPr="0098775D" w:rsidRDefault="00006F2B" w:rsidP="00006F2B">
      <w:pPr>
        <w:widowControl w:val="0"/>
        <w:spacing w:after="0" w:line="240" w:lineRule="auto"/>
        <w:jc w:val="center"/>
        <w:rPr>
          <w:rFonts w:cs="Times New Roman"/>
          <w:b/>
          <w:sz w:val="28"/>
          <w:szCs w:val="28"/>
          <w:lang w:val="ro-RO"/>
        </w:rPr>
      </w:pPr>
      <w:r w:rsidRPr="0098775D">
        <w:rPr>
          <w:rFonts w:cs="Times New Roman"/>
          <w:b/>
          <w:sz w:val="28"/>
          <w:szCs w:val="28"/>
          <w:lang w:val="ro-RO"/>
        </w:rPr>
        <w:t>Nicușor HALICI</w:t>
      </w:r>
    </w:p>
    <w:p w14:paraId="55975BF8" w14:textId="77777777" w:rsidR="00006F2B" w:rsidRPr="0098775D" w:rsidRDefault="00006F2B" w:rsidP="00006F2B">
      <w:pPr>
        <w:widowControl w:val="0"/>
        <w:spacing w:after="0" w:line="240" w:lineRule="auto"/>
        <w:rPr>
          <w:rFonts w:cs="Times New Roman"/>
          <w:b/>
          <w:sz w:val="28"/>
          <w:szCs w:val="28"/>
          <w:lang w:val="ro-RO"/>
        </w:rPr>
      </w:pPr>
    </w:p>
    <w:p w14:paraId="2AB022D2" w14:textId="77777777" w:rsidR="00006F2B" w:rsidRPr="0098775D" w:rsidRDefault="00006F2B" w:rsidP="00006F2B">
      <w:pPr>
        <w:widowControl w:val="0"/>
        <w:spacing w:after="0" w:line="240" w:lineRule="auto"/>
        <w:rPr>
          <w:rFonts w:cs="Times New Roman"/>
          <w:b/>
          <w:sz w:val="28"/>
          <w:szCs w:val="28"/>
          <w:lang w:val="ro-RO"/>
        </w:rPr>
      </w:pPr>
    </w:p>
    <w:p w14:paraId="42349114" w14:textId="77777777" w:rsidR="00006F2B" w:rsidRPr="0098775D" w:rsidRDefault="00006F2B" w:rsidP="00006F2B">
      <w:pPr>
        <w:widowControl w:val="0"/>
        <w:spacing w:after="0" w:line="240" w:lineRule="auto"/>
        <w:rPr>
          <w:rFonts w:cs="Times New Roman"/>
          <w:b/>
          <w:sz w:val="28"/>
          <w:szCs w:val="28"/>
          <w:lang w:val="ro-RO"/>
        </w:rPr>
      </w:pPr>
    </w:p>
    <w:p w14:paraId="75AE8E58" w14:textId="616FC5DB" w:rsidR="00006F2B" w:rsidRPr="0098775D" w:rsidRDefault="00006F2B" w:rsidP="00006F2B">
      <w:pPr>
        <w:widowControl w:val="0"/>
        <w:spacing w:after="0" w:line="240" w:lineRule="auto"/>
        <w:ind w:left="5760"/>
        <w:jc w:val="center"/>
        <w:rPr>
          <w:rFonts w:cs="Times New Roman"/>
          <w:b/>
          <w:sz w:val="28"/>
          <w:szCs w:val="28"/>
          <w:lang w:val="ro-RO"/>
        </w:rPr>
      </w:pPr>
      <w:r w:rsidRPr="0098775D">
        <w:rPr>
          <w:rFonts w:cs="Times New Roman"/>
          <w:b/>
          <w:sz w:val="28"/>
          <w:szCs w:val="28"/>
          <w:lang w:val="ro-RO"/>
        </w:rPr>
        <w:t xml:space="preserve">    </w:t>
      </w:r>
      <w:r w:rsidR="006D27F7">
        <w:rPr>
          <w:rFonts w:cs="Times New Roman"/>
          <w:b/>
          <w:sz w:val="28"/>
          <w:szCs w:val="28"/>
          <w:lang w:val="ro-RO"/>
        </w:rPr>
        <w:t xml:space="preserve">Contrasemnează, </w:t>
      </w:r>
    </w:p>
    <w:p w14:paraId="4497BD41" w14:textId="77777777" w:rsidR="00006F2B" w:rsidRPr="0098775D" w:rsidRDefault="00006F2B" w:rsidP="00006F2B">
      <w:pPr>
        <w:widowControl w:val="0"/>
        <w:spacing w:after="0" w:line="240" w:lineRule="auto"/>
        <w:jc w:val="right"/>
        <w:rPr>
          <w:rFonts w:cs="Times New Roman"/>
          <w:b/>
          <w:sz w:val="28"/>
          <w:szCs w:val="28"/>
          <w:lang w:val="ro-RO"/>
        </w:rPr>
      </w:pPr>
      <w:r w:rsidRPr="0098775D">
        <w:rPr>
          <w:rFonts w:cs="Times New Roman"/>
          <w:b/>
          <w:sz w:val="28"/>
          <w:szCs w:val="28"/>
          <w:lang w:val="ro-RO"/>
        </w:rPr>
        <w:t>Secretarul general al județului</w:t>
      </w:r>
    </w:p>
    <w:p w14:paraId="72F8F9C8" w14:textId="0C44470D" w:rsidR="00F65146" w:rsidRPr="0098775D" w:rsidRDefault="00006F2B" w:rsidP="00006F2B">
      <w:pPr>
        <w:spacing w:after="80"/>
        <w:rPr>
          <w:rFonts w:cs="Times New Roman"/>
          <w:sz w:val="28"/>
          <w:szCs w:val="28"/>
          <w:lang w:val="ro-RO"/>
        </w:rPr>
      </w:pPr>
      <w:r w:rsidRPr="0098775D">
        <w:rPr>
          <w:rFonts w:cs="Times New Roman"/>
          <w:b/>
          <w:sz w:val="28"/>
          <w:szCs w:val="28"/>
          <w:lang w:val="ro-RO"/>
        </w:rPr>
        <w:t xml:space="preserve"> </w:t>
      </w:r>
      <w:r w:rsidRPr="0098775D">
        <w:rPr>
          <w:rFonts w:cs="Times New Roman"/>
          <w:b/>
          <w:sz w:val="28"/>
          <w:szCs w:val="28"/>
          <w:lang w:val="ro-RO"/>
        </w:rPr>
        <w:tab/>
      </w:r>
      <w:r w:rsidRPr="0098775D">
        <w:rPr>
          <w:rFonts w:cs="Times New Roman"/>
          <w:b/>
          <w:sz w:val="28"/>
          <w:szCs w:val="28"/>
          <w:lang w:val="ro-RO"/>
        </w:rPr>
        <w:tab/>
      </w:r>
      <w:r w:rsidRPr="0098775D">
        <w:rPr>
          <w:rFonts w:cs="Times New Roman"/>
          <w:b/>
          <w:sz w:val="28"/>
          <w:szCs w:val="28"/>
          <w:lang w:val="ro-RO"/>
        </w:rPr>
        <w:tab/>
      </w:r>
      <w:r w:rsidRPr="0098775D">
        <w:rPr>
          <w:rFonts w:cs="Times New Roman"/>
          <w:b/>
          <w:sz w:val="28"/>
          <w:szCs w:val="28"/>
          <w:lang w:val="ro-RO"/>
        </w:rPr>
        <w:tab/>
      </w:r>
      <w:r w:rsidRPr="0098775D">
        <w:rPr>
          <w:rFonts w:cs="Times New Roman"/>
          <w:b/>
          <w:sz w:val="28"/>
          <w:szCs w:val="28"/>
          <w:lang w:val="ro-RO"/>
        </w:rPr>
        <w:tab/>
      </w:r>
      <w:r w:rsidRPr="0098775D">
        <w:rPr>
          <w:rFonts w:cs="Times New Roman"/>
          <w:b/>
          <w:sz w:val="28"/>
          <w:szCs w:val="28"/>
          <w:lang w:val="ro-RO"/>
        </w:rPr>
        <w:tab/>
      </w:r>
      <w:r w:rsidRPr="0098775D">
        <w:rPr>
          <w:rFonts w:cs="Times New Roman"/>
          <w:b/>
          <w:sz w:val="28"/>
          <w:szCs w:val="28"/>
          <w:lang w:val="ro-RO"/>
        </w:rPr>
        <w:tab/>
      </w:r>
      <w:r w:rsidRPr="0098775D">
        <w:rPr>
          <w:rFonts w:cs="Times New Roman"/>
          <w:b/>
          <w:sz w:val="28"/>
          <w:szCs w:val="28"/>
          <w:lang w:val="ro-RO"/>
        </w:rPr>
        <w:tab/>
      </w:r>
      <w:r w:rsidRPr="0098775D">
        <w:rPr>
          <w:rFonts w:cs="Times New Roman"/>
          <w:b/>
          <w:sz w:val="28"/>
          <w:szCs w:val="28"/>
          <w:lang w:val="ro-RO"/>
        </w:rPr>
        <w:tab/>
        <w:t xml:space="preserve">       Raluca Dan</w:t>
      </w:r>
    </w:p>
    <w:sectPr w:rsidR="00F65146" w:rsidRPr="0098775D" w:rsidSect="00034616">
      <w:footerReference w:type="default" r:id="rId8"/>
      <w:pgSz w:w="11906" w:h="16838"/>
      <w:pgMar w:top="1134" w:right="1134" w:bottom="1134" w:left="141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2127C" w14:textId="77777777" w:rsidR="00AA091E" w:rsidRDefault="00AA091E">
      <w:pPr>
        <w:spacing w:after="0" w:line="240" w:lineRule="auto"/>
      </w:pPr>
      <w:r>
        <w:separator/>
      </w:r>
    </w:p>
  </w:endnote>
  <w:endnote w:type="continuationSeparator" w:id="0">
    <w:p w14:paraId="0B6A4B8E" w14:textId="77777777" w:rsidR="00AA091E" w:rsidRDefault="00AA0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057519"/>
      <w:docPartObj>
        <w:docPartGallery w:val="Page Numbers (Bottom of Page)"/>
        <w:docPartUnique/>
      </w:docPartObj>
    </w:sdtPr>
    <w:sdtEndPr/>
    <w:sdtContent>
      <w:p w14:paraId="605154A7" w14:textId="4B1B0238" w:rsidR="003E2B85" w:rsidRDefault="003E2B85">
        <w:pPr>
          <w:pStyle w:val="Subsol"/>
          <w:jc w:val="right"/>
        </w:pPr>
        <w:r>
          <w:fldChar w:fldCharType="begin"/>
        </w:r>
        <w:r>
          <w:instrText>PAGE   \* MERGEFORMAT</w:instrText>
        </w:r>
        <w:r>
          <w:fldChar w:fldCharType="separate"/>
        </w:r>
        <w:r>
          <w:rPr>
            <w:lang w:val="ro-RO"/>
          </w:rPr>
          <w:t>2</w:t>
        </w:r>
        <w:r>
          <w:fldChar w:fldCharType="end"/>
        </w:r>
      </w:p>
    </w:sdtContent>
  </w:sdt>
  <w:p w14:paraId="0FA1FCC9" w14:textId="77777777" w:rsidR="00F65146" w:rsidRDefault="00F65146">
    <w:pPr>
      <w:pStyle w:val="Subsol"/>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0026" w14:textId="77777777" w:rsidR="00AA091E" w:rsidRDefault="00AA091E">
      <w:pPr>
        <w:spacing w:after="0" w:line="240" w:lineRule="auto"/>
      </w:pPr>
      <w:r>
        <w:separator/>
      </w:r>
    </w:p>
  </w:footnote>
  <w:footnote w:type="continuationSeparator" w:id="0">
    <w:p w14:paraId="3D3327A4" w14:textId="77777777" w:rsidR="00AA091E" w:rsidRDefault="00AA09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1822407">
    <w:abstractNumId w:val="8"/>
  </w:num>
  <w:num w:numId="2" w16cid:durableId="959458064">
    <w:abstractNumId w:val="6"/>
  </w:num>
  <w:num w:numId="3" w16cid:durableId="1309431623">
    <w:abstractNumId w:val="5"/>
  </w:num>
  <w:num w:numId="4" w16cid:durableId="1428311605">
    <w:abstractNumId w:val="4"/>
  </w:num>
  <w:num w:numId="5" w16cid:durableId="1734693610">
    <w:abstractNumId w:val="7"/>
  </w:num>
  <w:num w:numId="6" w16cid:durableId="1114010325">
    <w:abstractNumId w:val="3"/>
  </w:num>
  <w:num w:numId="7" w16cid:durableId="1107119647">
    <w:abstractNumId w:val="2"/>
  </w:num>
  <w:num w:numId="8" w16cid:durableId="732629343">
    <w:abstractNumId w:val="1"/>
  </w:num>
  <w:num w:numId="9" w16cid:durableId="1517501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F2B"/>
    <w:rsid w:val="00034616"/>
    <w:rsid w:val="0006063C"/>
    <w:rsid w:val="00065491"/>
    <w:rsid w:val="0012672C"/>
    <w:rsid w:val="0015074B"/>
    <w:rsid w:val="00174C99"/>
    <w:rsid w:val="00175A0E"/>
    <w:rsid w:val="001E4141"/>
    <w:rsid w:val="00230B1C"/>
    <w:rsid w:val="00263750"/>
    <w:rsid w:val="0029639D"/>
    <w:rsid w:val="002A70AD"/>
    <w:rsid w:val="00326F90"/>
    <w:rsid w:val="00332DA1"/>
    <w:rsid w:val="003C4B10"/>
    <w:rsid w:val="003E2B85"/>
    <w:rsid w:val="003E6002"/>
    <w:rsid w:val="00422DA9"/>
    <w:rsid w:val="00445042"/>
    <w:rsid w:val="00483423"/>
    <w:rsid w:val="004A2870"/>
    <w:rsid w:val="00554BD1"/>
    <w:rsid w:val="00626464"/>
    <w:rsid w:val="006D27F7"/>
    <w:rsid w:val="007468C8"/>
    <w:rsid w:val="00811CF1"/>
    <w:rsid w:val="00825435"/>
    <w:rsid w:val="0098775D"/>
    <w:rsid w:val="009D2F1D"/>
    <w:rsid w:val="00A314E9"/>
    <w:rsid w:val="00A51D8C"/>
    <w:rsid w:val="00AA091E"/>
    <w:rsid w:val="00AA1D8D"/>
    <w:rsid w:val="00AC50EF"/>
    <w:rsid w:val="00B352D9"/>
    <w:rsid w:val="00B47730"/>
    <w:rsid w:val="00BC347F"/>
    <w:rsid w:val="00CB0664"/>
    <w:rsid w:val="00CC2532"/>
    <w:rsid w:val="00D36CEE"/>
    <w:rsid w:val="00D6794E"/>
    <w:rsid w:val="00DE5F40"/>
    <w:rsid w:val="00EB4CEE"/>
    <w:rsid w:val="00EB4FF7"/>
    <w:rsid w:val="00F65146"/>
    <w:rsid w:val="00FA41B3"/>
    <w:rsid w:val="00FB7528"/>
    <w:rsid w:val="00FC693F"/>
    <w:rsid w:val="00FF07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4D990B"/>
  <w14:defaultImageDpi w14:val="300"/>
  <w15:docId w15:val="{3A50C551-95AE-4E52-993E-A056A1523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after="60" w:line="240" w:lineRule="auto"/>
      <w:jc w:val="left"/>
      <w:outlineLvl w:val="0"/>
    </w:pPr>
    <w:rPr>
      <w:rFonts w:asciiTheme="majorHAnsi" w:eastAsiaTheme="majorEastAsia" w:hAnsiTheme="majorHAnsi" w:cstheme="majorBidi"/>
      <w:b/>
      <w:bCs/>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spacing w:before="240" w:after="240" w:line="240" w:lineRule="auto"/>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spacing w:after="60"/>
      <w:ind w:left="454" w:hanging="198"/>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spacing w:after="60"/>
      <w:ind w:left="454" w:hanging="198"/>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4195</Words>
  <Characters>24332</Characters>
  <Application>Microsoft Office Word</Application>
  <DocSecurity>0</DocSecurity>
  <Lines>202</Lines>
  <Paragraphs>56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Notă conceptuală - Reabilitare și modernizare Stadionul Tineretului</vt:lpstr>
      <vt:lpstr/>
    </vt:vector>
  </TitlesOfParts>
  <Manager/>
  <Company/>
  <LinksUpToDate>false</LinksUpToDate>
  <CharactersWithSpaces>28471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Notă conceptuală - Reabilitare și modernizare Stadionul Tineretului</dc:title>
  <dc:subject>Anexa nr. 1 la HG nr. 907/2016</dc:subject>
  <dc:creator>Consiliul Județean Vrancea</dc:creator>
  <cp:keywords/>
  <dc:description>generated by python-docx</dc:description>
  <cp:lastModifiedBy>Tulbure Mihaela</cp:lastModifiedBy>
  <cp:revision>10</cp:revision>
  <cp:lastPrinted>2026-09-16T06:31:00Z</cp:lastPrinted>
  <dcterms:created xsi:type="dcterms:W3CDTF">2026-08-25T06:09:00Z</dcterms:created>
  <dcterms:modified xsi:type="dcterms:W3CDTF">2026-09-16T06:31:00Z</dcterms:modified>
  <cp:category/>
</cp:coreProperties>
</file>