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7ACC4" w14:textId="5AF2C308" w:rsidR="004C49B6" w:rsidRPr="004314A7" w:rsidRDefault="004C49B6" w:rsidP="004C49B6">
      <w:pPr>
        <w:autoSpaceDE w:val="0"/>
        <w:autoSpaceDN w:val="0"/>
        <w:adjustRightInd w:val="0"/>
        <w:spacing w:after="0"/>
        <w:ind w:hanging="142"/>
        <w:rPr>
          <w:rFonts w:ascii="Times New Roman" w:hAnsi="Times New Roman"/>
          <w:b/>
          <w:bCs/>
          <w:sz w:val="28"/>
          <w:szCs w:val="28"/>
        </w:rPr>
      </w:pPr>
      <w:r w:rsidRPr="004314A7">
        <w:rPr>
          <w:rFonts w:ascii="Times New Roman" w:hAnsi="Times New Roman"/>
          <w:b/>
          <w:bCs/>
          <w:sz w:val="28"/>
          <w:szCs w:val="28"/>
        </w:rPr>
        <w:t>ROMÂNIA</w:t>
      </w:r>
      <w:r>
        <w:rPr>
          <w:rFonts w:ascii="Times New Roman" w:hAnsi="Times New Roman"/>
          <w:b/>
          <w:bCs/>
          <w:sz w:val="28"/>
          <w:szCs w:val="28"/>
        </w:rPr>
        <w:t xml:space="preserve">                                                                            </w:t>
      </w:r>
    </w:p>
    <w:p w14:paraId="191BC47B" w14:textId="05BC942B" w:rsidR="004C49B6" w:rsidRPr="004314A7" w:rsidRDefault="004C49B6" w:rsidP="004C49B6">
      <w:pPr>
        <w:autoSpaceDE w:val="0"/>
        <w:autoSpaceDN w:val="0"/>
        <w:adjustRightInd w:val="0"/>
        <w:spacing w:after="0"/>
        <w:ind w:left="-142"/>
        <w:rPr>
          <w:rFonts w:ascii="Times New Roman" w:hAnsi="Times New Roman"/>
          <w:b/>
          <w:bCs/>
          <w:sz w:val="28"/>
          <w:szCs w:val="28"/>
        </w:rPr>
      </w:pPr>
      <w:r w:rsidRPr="004314A7">
        <w:rPr>
          <w:rFonts w:ascii="Times New Roman" w:hAnsi="Times New Roman"/>
          <w:b/>
          <w:bCs/>
          <w:sz w:val="28"/>
          <w:szCs w:val="28"/>
        </w:rPr>
        <w:t>JUDEȚUL VRANCEA                                                     Anexa nr. 1</w:t>
      </w:r>
    </w:p>
    <w:p w14:paraId="594D5E1A" w14:textId="5F7C1642" w:rsidR="004C49B6" w:rsidRPr="004314A7" w:rsidRDefault="004C49B6" w:rsidP="004C49B6">
      <w:pPr>
        <w:autoSpaceDE w:val="0"/>
        <w:autoSpaceDN w:val="0"/>
        <w:adjustRightInd w:val="0"/>
        <w:spacing w:after="0"/>
        <w:ind w:left="-142"/>
        <w:rPr>
          <w:rFonts w:ascii="Times New Roman" w:hAnsi="Times New Roman"/>
          <w:b/>
          <w:bCs/>
          <w:sz w:val="28"/>
          <w:szCs w:val="28"/>
        </w:rPr>
      </w:pPr>
      <w:r w:rsidRPr="004314A7">
        <w:rPr>
          <w:rFonts w:ascii="Times New Roman" w:hAnsi="Times New Roman"/>
          <w:b/>
          <w:bCs/>
          <w:sz w:val="28"/>
          <w:szCs w:val="28"/>
        </w:rPr>
        <w:t xml:space="preserve">CONSILIUL JUDEȚEAN                 </w:t>
      </w:r>
      <w:r>
        <w:rPr>
          <w:rFonts w:ascii="Times New Roman" w:hAnsi="Times New Roman"/>
          <w:b/>
          <w:bCs/>
          <w:sz w:val="28"/>
          <w:szCs w:val="28"/>
        </w:rPr>
        <w:t xml:space="preserve">        </w:t>
      </w:r>
      <w:r w:rsidRPr="004314A7">
        <w:rPr>
          <w:rFonts w:ascii="Times New Roman" w:hAnsi="Times New Roman"/>
          <w:b/>
          <w:bCs/>
          <w:sz w:val="28"/>
          <w:szCs w:val="28"/>
        </w:rPr>
        <w:t>la Hotărârea nr.</w:t>
      </w:r>
      <w:r w:rsidR="00C05D8F">
        <w:rPr>
          <w:rFonts w:ascii="Times New Roman" w:hAnsi="Times New Roman"/>
          <w:b/>
          <w:bCs/>
          <w:sz w:val="28"/>
          <w:szCs w:val="28"/>
        </w:rPr>
        <w:t xml:space="preserve"> 230 din 28.09.</w:t>
      </w:r>
      <w:r w:rsidRPr="004314A7">
        <w:rPr>
          <w:rFonts w:ascii="Times New Roman" w:hAnsi="Times New Roman"/>
          <w:b/>
          <w:bCs/>
          <w:sz w:val="28"/>
          <w:szCs w:val="28"/>
        </w:rPr>
        <w:t>2026</w:t>
      </w:r>
    </w:p>
    <w:p w14:paraId="4C596313" w14:textId="77777777" w:rsidR="004C49B6" w:rsidRDefault="004C49B6">
      <w:pPr>
        <w:spacing w:after="0" w:line="269" w:lineRule="auto"/>
        <w:rPr>
          <w:rFonts w:ascii="Times New Roman" w:hAnsi="Times New Roman"/>
          <w:sz w:val="24"/>
        </w:rPr>
      </w:pPr>
    </w:p>
    <w:p w14:paraId="14AAEBE0" w14:textId="77777777" w:rsidR="004C49B6" w:rsidRDefault="004C49B6">
      <w:pPr>
        <w:spacing w:after="0" w:line="269" w:lineRule="auto"/>
        <w:rPr>
          <w:rFonts w:ascii="Times New Roman" w:hAnsi="Times New Roman"/>
          <w:sz w:val="24"/>
        </w:rPr>
      </w:pPr>
    </w:p>
    <w:p w14:paraId="140C9E32" w14:textId="1C3ABE80" w:rsidR="006353E8" w:rsidRDefault="00AD0BF6">
      <w:pPr>
        <w:spacing w:after="0" w:line="269" w:lineRule="auto"/>
      </w:pPr>
      <w:r>
        <w:rPr>
          <w:rFonts w:ascii="Times New Roman" w:hAnsi="Times New Roman"/>
          <w:sz w:val="24"/>
        </w:rPr>
        <w:t>Beneficiar U.A.T. JUDEȚUL VRANCEA</w:t>
      </w:r>
    </w:p>
    <w:p w14:paraId="431D9D56" w14:textId="77777777" w:rsidR="006353E8" w:rsidRDefault="00AD0BF6">
      <w:pPr>
        <w:spacing w:after="0" w:line="269" w:lineRule="auto"/>
      </w:pPr>
      <w:r>
        <w:rPr>
          <w:rFonts w:ascii="Times New Roman" w:hAnsi="Times New Roman"/>
          <w:sz w:val="24"/>
        </w:rPr>
        <w:t>Nr. .......... / ........................</w:t>
      </w:r>
    </w:p>
    <w:p w14:paraId="6229B66B" w14:textId="77777777" w:rsidR="006353E8" w:rsidRDefault="00AD0BF6">
      <w:pPr>
        <w:spacing w:after="0" w:line="269" w:lineRule="auto"/>
      </w:pPr>
      <w:r>
        <w:rPr>
          <w:rFonts w:ascii="Times New Roman" w:hAnsi="Times New Roman"/>
          <w:sz w:val="24"/>
        </w:rPr>
        <w:t>Aprobat</w:t>
      </w:r>
    </w:p>
    <w:p w14:paraId="75482054" w14:textId="77777777" w:rsidR="006353E8" w:rsidRDefault="00AD0BF6">
      <w:pPr>
        <w:spacing w:after="0" w:line="269" w:lineRule="auto"/>
      </w:pPr>
      <w:r>
        <w:rPr>
          <w:rFonts w:ascii="Times New Roman" w:hAnsi="Times New Roman"/>
          <w:sz w:val="24"/>
        </w:rPr>
        <w:t>Președintele Consiliului Județean Vrancea</w:t>
      </w:r>
    </w:p>
    <w:p w14:paraId="6B0D2136" w14:textId="77777777" w:rsidR="006353E8" w:rsidRDefault="00AD0BF6">
      <w:pPr>
        <w:spacing w:after="0" w:line="269" w:lineRule="auto"/>
        <w:rPr>
          <w:rFonts w:ascii="Times New Roman" w:hAnsi="Times New Roman"/>
          <w:sz w:val="24"/>
        </w:rPr>
      </w:pPr>
      <w:r>
        <w:rPr>
          <w:rFonts w:ascii="Times New Roman" w:hAnsi="Times New Roman"/>
          <w:sz w:val="24"/>
        </w:rPr>
        <w:t>....................................................</w:t>
      </w:r>
    </w:p>
    <w:p w14:paraId="49DB9635" w14:textId="77777777" w:rsidR="004C49B6" w:rsidRDefault="004C49B6">
      <w:pPr>
        <w:spacing w:after="0" w:line="269" w:lineRule="auto"/>
      </w:pPr>
    </w:p>
    <w:p w14:paraId="71C007A1" w14:textId="77777777" w:rsidR="006353E8" w:rsidRDefault="00AD0BF6">
      <w:pPr>
        <w:spacing w:before="200" w:after="240" w:line="269" w:lineRule="auto"/>
        <w:jc w:val="center"/>
      </w:pPr>
      <w:r>
        <w:rPr>
          <w:rFonts w:ascii="Times New Roman" w:hAnsi="Times New Roman"/>
          <w:sz w:val="28"/>
        </w:rPr>
        <w:t>NOTĂ CONCEPTUALĂ</w:t>
      </w:r>
    </w:p>
    <w:p w14:paraId="6EF1A4CB" w14:textId="77777777" w:rsidR="006353E8" w:rsidRDefault="00AD0BF6">
      <w:pPr>
        <w:keepNext/>
        <w:spacing w:before="140" w:after="80" w:line="269" w:lineRule="auto"/>
        <w:jc w:val="both"/>
      </w:pPr>
      <w:r>
        <w:rPr>
          <w:rFonts w:ascii="Times New Roman" w:hAnsi="Times New Roman"/>
          <w:b/>
          <w:sz w:val="24"/>
        </w:rPr>
        <w:t>1. Informații generale privind obiectivul de investiții propus</w:t>
      </w:r>
    </w:p>
    <w:p w14:paraId="474C02F2" w14:textId="77777777" w:rsidR="006353E8" w:rsidRDefault="00AD0BF6">
      <w:pPr>
        <w:spacing w:after="80" w:line="269" w:lineRule="auto"/>
        <w:jc w:val="both"/>
      </w:pPr>
      <w:r>
        <w:rPr>
          <w:rFonts w:ascii="Times New Roman" w:hAnsi="Times New Roman"/>
          <w:sz w:val="24"/>
        </w:rPr>
        <w:t>1.1. Denumirea obiectivului de investiții: „Sprijinirea investițiilor în noi capacități de producere a energiei electrice produsă din surse regenerabile de energie solară, cu capacități de stocare integrate, pentru autoconsum - U.A.T. JUDEȚUL VRANCEA”</w:t>
      </w:r>
    </w:p>
    <w:p w14:paraId="4A19D9DA" w14:textId="77777777" w:rsidR="006353E8" w:rsidRDefault="00AD0BF6">
      <w:pPr>
        <w:spacing w:after="80" w:line="269" w:lineRule="auto"/>
        <w:jc w:val="both"/>
      </w:pPr>
      <w:r>
        <w:rPr>
          <w:rFonts w:ascii="Times New Roman" w:hAnsi="Times New Roman"/>
          <w:sz w:val="24"/>
        </w:rPr>
        <w:t>1.2. Ordonator principal de credite/investitor: U.A.T. Județul Vrancea.</w:t>
      </w:r>
    </w:p>
    <w:p w14:paraId="5CC7552A" w14:textId="77777777" w:rsidR="006353E8" w:rsidRDefault="00AD0BF6">
      <w:pPr>
        <w:spacing w:after="80" w:line="269" w:lineRule="auto"/>
        <w:jc w:val="both"/>
      </w:pPr>
      <w:r>
        <w:rPr>
          <w:rFonts w:ascii="Times New Roman" w:hAnsi="Times New Roman"/>
          <w:sz w:val="24"/>
        </w:rPr>
        <w:t>1.3. Ordonator de credite (secundar/terțiar): nu este cazul.</w:t>
      </w:r>
    </w:p>
    <w:p w14:paraId="661B0558" w14:textId="77777777" w:rsidR="006353E8" w:rsidRDefault="00AD0BF6">
      <w:pPr>
        <w:spacing w:after="80" w:line="269" w:lineRule="auto"/>
        <w:jc w:val="both"/>
      </w:pPr>
      <w:r>
        <w:rPr>
          <w:rFonts w:ascii="Times New Roman" w:hAnsi="Times New Roman"/>
          <w:sz w:val="24"/>
        </w:rPr>
        <w:t>1.4. Beneficiarul investiției: U.A.T. Județul Vrancea. Investiția urmărește consumurile aferente celor 11 locuri de consum din județ, inclusiv cele utilizate de instituții și servicii publice; drepturile asupra amplasamentelor și acordurile necesare se verifică pentru fiecare obiectiv.</w:t>
      </w:r>
    </w:p>
    <w:p w14:paraId="35A9000C" w14:textId="77777777" w:rsidR="006353E8" w:rsidRDefault="00AD0BF6">
      <w:pPr>
        <w:keepNext/>
        <w:spacing w:before="140" w:after="80" w:line="269" w:lineRule="auto"/>
        <w:jc w:val="both"/>
      </w:pPr>
      <w:r>
        <w:rPr>
          <w:rFonts w:ascii="Times New Roman" w:hAnsi="Times New Roman"/>
          <w:b/>
          <w:sz w:val="24"/>
        </w:rPr>
        <w:t>2. Necesitatea și oportunitatea obiectivului de investiții propus</w:t>
      </w:r>
    </w:p>
    <w:p w14:paraId="2F73A899" w14:textId="77777777" w:rsidR="006353E8" w:rsidRDefault="00AD0BF6">
      <w:pPr>
        <w:keepNext/>
        <w:spacing w:before="140" w:after="80" w:line="269" w:lineRule="auto"/>
        <w:jc w:val="both"/>
      </w:pPr>
      <w:r>
        <w:rPr>
          <w:rFonts w:ascii="Times New Roman" w:hAnsi="Times New Roman"/>
          <w:b/>
          <w:sz w:val="24"/>
        </w:rPr>
        <w:t>2.1. Scurtă prezentare privind:</w:t>
      </w:r>
    </w:p>
    <w:p w14:paraId="0317C011" w14:textId="77777777" w:rsidR="006353E8" w:rsidRDefault="00AD0BF6">
      <w:pPr>
        <w:spacing w:after="80" w:line="269" w:lineRule="auto"/>
        <w:jc w:val="both"/>
      </w:pPr>
      <w:r>
        <w:rPr>
          <w:rFonts w:ascii="Times New Roman" w:hAnsi="Times New Roman"/>
          <w:sz w:val="24"/>
        </w:rPr>
        <w:t>a) Deficiențe ale situației actuale. Cele 11 locuri de consum preiau în prezent energie electrică din rețeaua publică. Consumul anual de referință cumulat este de aproximativ 862.270 kWh/an, repartizat neuniform: bazinul și baza de agrement au consumuri semnificativ mai mari decât celelalte obiective. Lipsa unor capacități proprii de producere și stocare expune activitățile publice la costurile achiziției de energie. Profilurile de consum diferă de la un amplasament la altul, ceea ce impune dimensionarea distinctă a fiecărui sistem.</w:t>
      </w:r>
    </w:p>
    <w:p w14:paraId="412FEE6B" w14:textId="77777777" w:rsidR="006353E8" w:rsidRDefault="00AD0BF6">
      <w:pPr>
        <w:spacing w:after="100" w:line="269" w:lineRule="auto"/>
        <w:jc w:val="both"/>
      </w:pPr>
      <w:r>
        <w:rPr>
          <w:rFonts w:ascii="Times New Roman" w:hAnsi="Times New Roman"/>
          <w:sz w:val="24"/>
        </w:rPr>
        <w:t>Analiza trebuie să pornească de la locurile de consum, nu de la o putere fotovoltaică unică repartizată artificial. Bazinul, baza de agrement și sediul Tribunalului au sarcini de exploatare diferite de cele ale muzeului, stadionului sau Salvamontului; dimensionarea trebuie să țină seama de curba zilnică și sezonieră a consumului, de continuitatea utilizării spațiului și de condițiile existente de racordare. Un consum anual comparabil nu garantează același nivel de autoconsum: suprapunerea dintre producția solară și utilizarea energiei se verifică separat pentru fiecare contor.</w:t>
      </w:r>
    </w:p>
    <w:p w14:paraId="66DA5916" w14:textId="77777777" w:rsidR="006353E8" w:rsidRDefault="00AD0BF6">
      <w:pPr>
        <w:spacing w:after="100" w:line="269" w:lineRule="auto"/>
        <w:jc w:val="both"/>
      </w:pPr>
      <w:r>
        <w:rPr>
          <w:rFonts w:ascii="Times New Roman" w:hAnsi="Times New Roman"/>
          <w:sz w:val="24"/>
        </w:rPr>
        <w:t>La această etapă sunt cunoscute amplasamentele și consumurile de referință, dar rămân de verificat pe teren suprafețele utile pentru module, posibilitatea amplasării bateriilor, starea acoperișurilor, accesul și compatibilitatea instalațiilor electrice. Lipsa acestor informații justifică analiza de fezabilitate și nu permite stabilirea în Nota conceptuală a unei soluții de execuție definitive.</w:t>
      </w:r>
    </w:p>
    <w:p w14:paraId="61988625" w14:textId="6B2EED2E" w:rsidR="006353E8" w:rsidRDefault="00AD0BF6">
      <w:pPr>
        <w:spacing w:after="80" w:line="269" w:lineRule="auto"/>
        <w:jc w:val="both"/>
      </w:pPr>
      <w:r>
        <w:rPr>
          <w:rFonts w:ascii="Times New Roman" w:hAnsi="Times New Roman"/>
          <w:sz w:val="24"/>
        </w:rPr>
        <w:lastRenderedPageBreak/>
        <w:t>b) Efectul pozitiv preconizat</w:t>
      </w:r>
      <w:r w:rsidR="004C49B6">
        <w:rPr>
          <w:rFonts w:ascii="Times New Roman" w:hAnsi="Times New Roman"/>
          <w:sz w:val="24"/>
        </w:rPr>
        <w:t xml:space="preserve"> </w:t>
      </w:r>
      <w:r w:rsidR="004C49B6" w:rsidRPr="004C49B6">
        <w:rPr>
          <w:rFonts w:ascii="Times New Roman" w:hAnsi="Times New Roman"/>
          <w:sz w:val="24"/>
        </w:rPr>
        <w:t>prin realizarea obiectivului de investiții</w:t>
      </w:r>
      <w:r>
        <w:rPr>
          <w:rFonts w:ascii="Times New Roman" w:hAnsi="Times New Roman"/>
          <w:sz w:val="24"/>
        </w:rPr>
        <w:t>. Realizarea unor instalații fotovoltaice noi cu baterii integrate permite utilizarea cu prioritate a energiei produse la locul de consum, stocarea energiei solare excedentare și utilizarea ulterioară pentru același loc de consum. Se urmăresc reducerea energiei achiziționate din rețea, a cheltuielilor de operare și a emisiilor asociate producerii convenționale a energiei. Obiectivul este autoconsumul, prin instalații dimensionate individual, nu producerea de energie în scop comercial.</w:t>
      </w:r>
    </w:p>
    <w:p w14:paraId="335F1B86" w14:textId="77777777" w:rsidR="006353E8" w:rsidRDefault="00AD0BF6">
      <w:pPr>
        <w:spacing w:after="100" w:line="269" w:lineRule="auto"/>
        <w:jc w:val="both"/>
      </w:pPr>
      <w:r>
        <w:rPr>
          <w:rFonts w:ascii="Times New Roman" w:hAnsi="Times New Roman"/>
          <w:sz w:val="24"/>
        </w:rPr>
        <w:t>Beneficiul urmărit este reducerea consumului de energie cumpărată în intervalele în care producția solară poate susține direct serviciul public, respectiv valorificarea ulterioară a surplusului solar prin baterie. Pentru obiectivele cu cerere în afara orelor de însorire se va evalua distinct contribuția stocării; pentru cele cu cerere concentrată în timpul zilei se va evalua ponderea consumului instantaneu. Indicatorii cantitativi vor fi fundamentați ulterior prin simulări și bilanțuri pe fiecare amplasament.</w:t>
      </w:r>
    </w:p>
    <w:p w14:paraId="62AFB49A" w14:textId="77777777" w:rsidR="006353E8" w:rsidRDefault="00AD0BF6">
      <w:pPr>
        <w:spacing w:after="100" w:line="269" w:lineRule="auto"/>
        <w:jc w:val="both"/>
      </w:pPr>
      <w:r>
        <w:rPr>
          <w:rFonts w:ascii="Times New Roman" w:hAnsi="Times New Roman"/>
          <w:sz w:val="24"/>
        </w:rPr>
        <w:t>Investiția poate îmbunătăți predictibilitatea cheltuielilor curente și poate utiliza suprafețe deja afectate funcțiunilor publice. Evaluarea efectelor trebuie să includă și cheltuielile de întreținere, înlocuirea componentelor cu durată de viață mai mică și eventualele constrângeri de funcționare la fiecare obiectiv.</w:t>
      </w:r>
    </w:p>
    <w:p w14:paraId="09B05862" w14:textId="4265C055" w:rsidR="006353E8" w:rsidRDefault="00AD0BF6">
      <w:pPr>
        <w:spacing w:after="80" w:line="269" w:lineRule="auto"/>
        <w:jc w:val="both"/>
      </w:pPr>
      <w:r>
        <w:rPr>
          <w:rFonts w:ascii="Times New Roman" w:hAnsi="Times New Roman"/>
          <w:sz w:val="24"/>
        </w:rPr>
        <w:t>c)</w:t>
      </w:r>
      <w:r w:rsidR="004C49B6">
        <w:rPr>
          <w:rFonts w:ascii="Times New Roman" w:hAnsi="Times New Roman"/>
          <w:sz w:val="24"/>
        </w:rPr>
        <w:t xml:space="preserve"> </w:t>
      </w:r>
      <w:r w:rsidR="004C49B6" w:rsidRPr="004C49B6">
        <w:rPr>
          <w:rFonts w:ascii="Times New Roman" w:hAnsi="Times New Roman"/>
          <w:sz w:val="24"/>
        </w:rPr>
        <w:t>impactul negativ previzionat în cazul nerealizării obiectivului de investiții</w:t>
      </w:r>
      <w:r>
        <w:rPr>
          <w:rFonts w:ascii="Times New Roman" w:hAnsi="Times New Roman"/>
          <w:sz w:val="24"/>
        </w:rPr>
        <w:t>. Consumul instituțiilor și serviciilor publice rămâne dependent de rețeaua publică și de fluctuațiile costurilor energiei, iar oportunitatea utilizării suprafețelor adecvate pentru producerea locală de energie solară și pentru stocare nu este valorificată.</w:t>
      </w:r>
    </w:p>
    <w:p w14:paraId="4D3B524F" w14:textId="77777777" w:rsidR="006353E8" w:rsidRDefault="00AD0BF6">
      <w:pPr>
        <w:spacing w:after="100" w:line="269" w:lineRule="auto"/>
        <w:jc w:val="both"/>
      </w:pPr>
      <w:r>
        <w:rPr>
          <w:rFonts w:ascii="Times New Roman" w:hAnsi="Times New Roman"/>
          <w:sz w:val="24"/>
        </w:rPr>
        <w:t>Fără investiție, consumul viitor rămâne asigurat în principal prin furnizare din rețea, iar județul nu utilizează potențialul de producție locală din amplasamentele identificate. Se pierd beneficiile posibile ale adaptării investiției la profilul fiecărui serviciu public; evaluarea exactă a economiei nerealizate rămâne în sarcina documentației tehnico-economice.</w:t>
      </w:r>
    </w:p>
    <w:p w14:paraId="77D18F11" w14:textId="77777777" w:rsidR="006353E8" w:rsidRDefault="00AD0BF6">
      <w:pPr>
        <w:keepNext/>
        <w:spacing w:before="140" w:after="80" w:line="269" w:lineRule="auto"/>
        <w:jc w:val="both"/>
      </w:pPr>
      <w:r>
        <w:rPr>
          <w:rFonts w:ascii="Times New Roman" w:hAnsi="Times New Roman"/>
          <w:b/>
          <w:sz w:val="24"/>
        </w:rPr>
        <w:t>2.2. Prezentarea, după caz, a obiectivelor de investiții cu aceleași funcțiuni sau funcțiuni similare cu obiectivul de investiții propus, existente în zonă, în vederea justificării necesității realizării obiectivului de investiții propus</w:t>
      </w:r>
    </w:p>
    <w:p w14:paraId="3D6A6E5F" w14:textId="77777777" w:rsidR="006353E8" w:rsidRDefault="00AD0BF6">
      <w:pPr>
        <w:spacing w:after="80" w:line="269" w:lineRule="auto"/>
        <w:jc w:val="both"/>
      </w:pPr>
      <w:r>
        <w:rPr>
          <w:rFonts w:ascii="Times New Roman" w:hAnsi="Times New Roman"/>
          <w:sz w:val="24"/>
        </w:rPr>
        <w:t>Investiția este alcătuită din 11 configurații distincte, fiecare legată de un loc de consum propriu. Eventuale instalații existente la alte puncte de consum nu suplinesc necesarul celor propuse aici. Pentru fiecare locație se verifică instalațiile existente, evitarea dublei finanțări și compatibilitatea cu infrastructura electrică și cu condițiile apelului.</w:t>
      </w:r>
    </w:p>
    <w:p w14:paraId="3718FB45" w14:textId="77777777" w:rsidR="006353E8" w:rsidRDefault="00AD0BF6">
      <w:pPr>
        <w:spacing w:after="100" w:line="269" w:lineRule="auto"/>
        <w:jc w:val="both"/>
      </w:pPr>
      <w:r>
        <w:rPr>
          <w:rFonts w:ascii="Times New Roman" w:hAnsi="Times New Roman"/>
          <w:sz w:val="24"/>
        </w:rPr>
        <w:t>La această etapă nu rezultă o evidență verificată a unor capacități fotovoltaice identice amplasate la cele 11 puncte. Chiar dacă există alte centrale în județ, acelea deservesc alte locuri de consum și nu permit însumarea producției între contoare fără o justificare tehnică și juridică. Proiectantul va identifica orice producție sau stocare preexistentă la amplasamentele propuse și va arăta dacă poate fi folosită ori dacă este necesară o investiție nouă, fără suprapunere cu finanțări anterioare.</w:t>
      </w:r>
    </w:p>
    <w:p w14:paraId="546C47DA" w14:textId="77777777" w:rsidR="006353E8" w:rsidRDefault="00AD0BF6">
      <w:pPr>
        <w:keepNext/>
        <w:spacing w:before="140" w:after="80" w:line="269" w:lineRule="auto"/>
        <w:jc w:val="both"/>
      </w:pPr>
      <w:r>
        <w:rPr>
          <w:rFonts w:ascii="Times New Roman" w:hAnsi="Times New Roman"/>
          <w:b/>
          <w:sz w:val="24"/>
        </w:rPr>
        <w:t>2.3. Existența, după caz, a unei strategii, a unui master plan ori a unor planuri similare, aprobate prin acte normative, în cadrul cărora se poate încadra obiectivul de investiții propus</w:t>
      </w:r>
    </w:p>
    <w:p w14:paraId="590D6277" w14:textId="77777777" w:rsidR="006353E8" w:rsidRDefault="00AD0BF6">
      <w:pPr>
        <w:spacing w:after="80" w:line="269" w:lineRule="auto"/>
        <w:jc w:val="both"/>
      </w:pPr>
      <w:r>
        <w:rPr>
          <w:rFonts w:ascii="Times New Roman" w:hAnsi="Times New Roman"/>
          <w:sz w:val="24"/>
        </w:rPr>
        <w:t xml:space="preserve">Obiectivul se încadrează în direcțiile naționale privind creșterea producției de energie din surse regenerabile și în Planul Național Integrat în domeniul Energiei și Schimbărilor Climatice. Ca sursă posibilă de finanțare este identificat Fondul pentru modernizare, Programul-cheie 1 </w:t>
      </w:r>
      <w:r>
        <w:rPr>
          <w:rFonts w:ascii="Times New Roman" w:hAnsi="Times New Roman"/>
          <w:sz w:val="24"/>
        </w:rPr>
        <w:lastRenderedPageBreak/>
        <w:t>„Surse regenerabile de energie și stocarea energiei”, apelul destinat entităților publice pentru producere din sursă solară cu stocare integrată, pentru autoconsum.</w:t>
      </w:r>
    </w:p>
    <w:p w14:paraId="71875B20" w14:textId="77777777" w:rsidR="006353E8" w:rsidRDefault="00AD0BF6">
      <w:pPr>
        <w:spacing w:after="100" w:line="269" w:lineRule="auto"/>
        <w:jc w:val="both"/>
      </w:pPr>
      <w:r>
        <w:rPr>
          <w:rFonts w:ascii="Times New Roman" w:hAnsi="Times New Roman"/>
          <w:sz w:val="24"/>
        </w:rPr>
        <w:t>Încadrarea concretă în strategii și în apelul de finanțare se va prezenta prin documentele în vigoare la data depunerii. Scopul investiției este unul local: reducerea consumului de energie din rețea al unor obiective publice ale județului. Trimiterea la politicile europene și naționale sprijină oportunitatea, dar nu înlocuiește demonstrarea eligibilității fiecărui loc de consum și a drepturilor asupra amplasamentului.</w:t>
      </w:r>
    </w:p>
    <w:p w14:paraId="70BFCA0A" w14:textId="77777777" w:rsidR="006353E8" w:rsidRDefault="00AD0BF6">
      <w:pPr>
        <w:keepNext/>
        <w:spacing w:before="140" w:after="80" w:line="269" w:lineRule="auto"/>
        <w:jc w:val="both"/>
      </w:pPr>
      <w:r>
        <w:rPr>
          <w:rFonts w:ascii="Times New Roman" w:hAnsi="Times New Roman"/>
          <w:b/>
          <w:sz w:val="24"/>
        </w:rPr>
        <w:t>2.4. Existența, după caz, a unor acorduri internaționale ale statului care obligă partea română la realizarea obiectivului de investiții</w:t>
      </w:r>
    </w:p>
    <w:p w14:paraId="08B6E5BC" w14:textId="77777777" w:rsidR="006353E8" w:rsidRDefault="00AD0BF6">
      <w:pPr>
        <w:spacing w:after="80" w:line="269" w:lineRule="auto"/>
        <w:jc w:val="both"/>
      </w:pPr>
      <w:r>
        <w:rPr>
          <w:rFonts w:ascii="Times New Roman" w:hAnsi="Times New Roman"/>
          <w:sz w:val="24"/>
        </w:rPr>
        <w:t>Nu a fost identificat un acord internațional care să impună în mod individual realizarea celor 11 instalații. Investiția contribuie la obiectivele generale asumate de România și de Uniunea Europeană privind energia regenerabilă și reducerea emisiilor.</w:t>
      </w:r>
    </w:p>
    <w:p w14:paraId="6B9819C3" w14:textId="77777777" w:rsidR="006353E8" w:rsidRDefault="00AD0BF6">
      <w:pPr>
        <w:spacing w:after="100" w:line="269" w:lineRule="auto"/>
        <w:jc w:val="both"/>
      </w:pPr>
      <w:r>
        <w:rPr>
          <w:rFonts w:ascii="Times New Roman" w:hAnsi="Times New Roman"/>
          <w:sz w:val="24"/>
        </w:rPr>
        <w:t>Pentru fundamentarea investiției nu se invocă o obligație internațională individuală referitoare la amplasamentele din Vrancea. Contribuția la obiectivele generale privind decarbonizarea rămâne un efect preconizat al soluției, urmând să fie cuantificată în documentația tehnico-economică potrivit metodologiei de finanțare.</w:t>
      </w:r>
    </w:p>
    <w:p w14:paraId="45213E15" w14:textId="77777777" w:rsidR="006353E8" w:rsidRDefault="00AD0BF6">
      <w:pPr>
        <w:keepNext/>
        <w:spacing w:before="140" w:after="80" w:line="269" w:lineRule="auto"/>
        <w:jc w:val="both"/>
      </w:pPr>
      <w:r>
        <w:rPr>
          <w:rFonts w:ascii="Times New Roman" w:hAnsi="Times New Roman"/>
          <w:b/>
          <w:sz w:val="24"/>
        </w:rPr>
        <w:t>2.5. Obiective generale, preconizate a fi atinse prin realizarea investiției</w:t>
      </w:r>
    </w:p>
    <w:p w14:paraId="2757895E" w14:textId="77777777" w:rsidR="006353E8" w:rsidRDefault="00AD0BF6">
      <w:pPr>
        <w:spacing w:after="60" w:line="269" w:lineRule="auto"/>
        <w:ind w:left="198" w:hanging="142"/>
      </w:pPr>
      <w:r>
        <w:rPr>
          <w:rFonts w:ascii="Times New Roman" w:hAnsi="Times New Roman"/>
          <w:sz w:val="24"/>
        </w:rPr>
        <w:t>•  Instalarea preconizată a 11 capacități fotovoltaice noi, fiecare cu stocare integrată și contorizare/monitorizare aferentă propriului loc de consum.</w:t>
      </w:r>
    </w:p>
    <w:p w14:paraId="643D978A" w14:textId="77777777" w:rsidR="006353E8" w:rsidRDefault="00AD0BF6">
      <w:pPr>
        <w:spacing w:after="60" w:line="269" w:lineRule="auto"/>
        <w:ind w:left="198" w:hanging="142"/>
      </w:pPr>
      <w:r>
        <w:rPr>
          <w:rFonts w:ascii="Times New Roman" w:hAnsi="Times New Roman"/>
          <w:sz w:val="24"/>
        </w:rPr>
        <w:t>•  Analizarea unei puteri fotovoltaice cumulate de ordinul a 0,3-0,4 MW, distribuită între cele 11 locuri de consum; capacitatea sistemelor de stocare se stabilește individual pentru o durată echivalentă de circa 2-4 ore, potrivit ghidului aplicabil.</w:t>
      </w:r>
    </w:p>
    <w:p w14:paraId="29EB7269" w14:textId="77777777" w:rsidR="006353E8" w:rsidRDefault="00AD0BF6">
      <w:pPr>
        <w:spacing w:after="60" w:line="269" w:lineRule="auto"/>
        <w:ind w:left="198" w:hanging="142"/>
      </w:pPr>
      <w:r>
        <w:rPr>
          <w:rFonts w:ascii="Times New Roman" w:hAnsi="Times New Roman"/>
          <w:sz w:val="24"/>
        </w:rPr>
        <w:t>•  Valorificarea cu prioritate a energiei produse local pentru acoperirea consumului propriu; capacitatea de stocare se încarcă din instalația solară a aceluiași amplasament, potrivit regulilor apelului.</w:t>
      </w:r>
    </w:p>
    <w:p w14:paraId="4890E17D" w14:textId="77777777" w:rsidR="006353E8" w:rsidRDefault="00AD0BF6">
      <w:pPr>
        <w:spacing w:after="60" w:line="269" w:lineRule="auto"/>
        <w:ind w:left="198" w:hanging="142"/>
      </w:pPr>
      <w:r>
        <w:rPr>
          <w:rFonts w:ascii="Times New Roman" w:hAnsi="Times New Roman"/>
          <w:sz w:val="24"/>
        </w:rPr>
        <w:t>•  Reducerea energiei achiziționate din rețea la un consum cumulat de referință de ordinul a 860.000 kWh/an; producția anuală și indicatorii de rezultat se stabilesc prin simulări la faza studiului de fezabilitate.</w:t>
      </w:r>
    </w:p>
    <w:p w14:paraId="79274CDA" w14:textId="77777777" w:rsidR="006353E8" w:rsidRDefault="00AD0BF6">
      <w:pPr>
        <w:spacing w:after="100" w:line="269" w:lineRule="auto"/>
        <w:jc w:val="both"/>
      </w:pPr>
      <w:r>
        <w:rPr>
          <w:rFonts w:ascii="Times New Roman" w:hAnsi="Times New Roman"/>
          <w:sz w:val="24"/>
        </w:rPr>
        <w:t>Obiectivele se verifică la nivel de loc de consum prin indicatori comparabili: capacitate instalată, capacitate și putere de stocare, producție anuală modelată, consum anual de referință, energie utilizată pentru autoconsum și energie livrată sau preluată din rețea. Nota nu aprobă aceste valori ca indicatori tehnico-economici; stabilirea lor revine studiului de fezabilitate.</w:t>
      </w:r>
    </w:p>
    <w:p w14:paraId="73BC3C3B" w14:textId="77777777" w:rsidR="006353E8" w:rsidRDefault="00AD0BF6">
      <w:pPr>
        <w:keepNext/>
        <w:spacing w:before="140" w:after="80" w:line="269" w:lineRule="auto"/>
        <w:jc w:val="both"/>
      </w:pPr>
      <w:r>
        <w:rPr>
          <w:rFonts w:ascii="Times New Roman" w:hAnsi="Times New Roman"/>
          <w:b/>
          <w:sz w:val="24"/>
        </w:rPr>
        <w:t>3. Estimarea suportabilității investiției publice</w:t>
      </w:r>
    </w:p>
    <w:p w14:paraId="175F9926" w14:textId="77777777" w:rsidR="006353E8" w:rsidRDefault="00AD0BF6">
      <w:pPr>
        <w:keepNext/>
        <w:spacing w:before="140" w:after="80" w:line="269" w:lineRule="auto"/>
        <w:jc w:val="both"/>
      </w:pPr>
      <w:r>
        <w:rPr>
          <w:rFonts w:ascii="Times New Roman" w:hAnsi="Times New Roman"/>
          <w:b/>
          <w:sz w:val="24"/>
        </w:rPr>
        <w:t>3.1. Estimarea cheltuielilor pentru execuția obiectivului de investiții, luându-se în considerare, după caz:</w:t>
      </w:r>
    </w:p>
    <w:p w14:paraId="49830811" w14:textId="77777777" w:rsidR="006353E8" w:rsidRDefault="00AD0BF6">
      <w:pPr>
        <w:spacing w:after="100" w:line="269" w:lineRule="auto"/>
        <w:jc w:val="both"/>
      </w:pPr>
      <w:r>
        <w:rPr>
          <w:rFonts w:ascii="Times New Roman" w:hAnsi="Times New Roman"/>
          <w:sz w:val="24"/>
        </w:rPr>
        <w:t>– costurile unor investiții similare realizate;</w:t>
      </w:r>
    </w:p>
    <w:p w14:paraId="42D95608" w14:textId="77777777" w:rsidR="006353E8" w:rsidRDefault="00AD0BF6">
      <w:pPr>
        <w:spacing w:after="100" w:line="269" w:lineRule="auto"/>
        <w:jc w:val="both"/>
      </w:pPr>
      <w:r>
        <w:rPr>
          <w:rFonts w:ascii="Times New Roman" w:hAnsi="Times New Roman"/>
          <w:sz w:val="24"/>
        </w:rPr>
        <w:t>– standarde de cost pentru investiții similare.</w:t>
      </w:r>
    </w:p>
    <w:p w14:paraId="26C6534A" w14:textId="77777777" w:rsidR="006353E8" w:rsidRDefault="00AD0BF6">
      <w:pPr>
        <w:spacing w:after="80" w:line="269" w:lineRule="auto"/>
        <w:jc w:val="both"/>
      </w:pPr>
      <w:r>
        <w:rPr>
          <w:rFonts w:ascii="Times New Roman" w:hAnsi="Times New Roman"/>
          <w:sz w:val="24"/>
        </w:rPr>
        <w:t xml:space="preserve">La nivelul etapei de fundamentare, necesarul pentru realizarea investiției este estimat, ca ordin de mărime, la circa 3-4 milioane lei cu TVA, pentru ansamblul celor 11 locuri de consum. Intervalul reprezintă o estimare orientativă de planificare, fără caracter de indicator tehnico-economic aprobat. Valoarea totală, valoarea construcțiilor-montaj și repartizarea cheltuielilor </w:t>
      </w:r>
      <w:r>
        <w:rPr>
          <w:rFonts w:ascii="Times New Roman" w:hAnsi="Times New Roman"/>
          <w:sz w:val="24"/>
        </w:rPr>
        <w:lastRenderedPageBreak/>
        <w:t>pe capitole se vor fundamenta de proiectant prin compararea soluțiilor și prin devizul general întocmit la faza studiului de fezabilitate.</w:t>
      </w:r>
    </w:p>
    <w:p w14:paraId="21760451" w14:textId="77777777" w:rsidR="006353E8" w:rsidRDefault="00AD0BF6">
      <w:pPr>
        <w:spacing w:after="100" w:line="269" w:lineRule="auto"/>
        <w:jc w:val="both"/>
      </w:pPr>
      <w:r>
        <w:rPr>
          <w:rFonts w:ascii="Times New Roman" w:hAnsi="Times New Roman"/>
          <w:sz w:val="24"/>
        </w:rPr>
        <w:t>Intervalul de planificare este distinct de indicatorii finali ai investiției și nu reprezintă un plafon de contractare. El ține cont de existența a 11 sisteme complete, a unor baterii integrate și a unor tipuri diferite de montaj. Nu s-au identificat în documentele de lucru standarde de cost obligatorii comparabile care să poată fi aplicate uniform; verificarea unor investiții similare și a prețurilor de piață va fi consemnată la stabilirea bugetului și a indicatorilor de aprobat.</w:t>
      </w:r>
    </w:p>
    <w:p w14:paraId="47906760" w14:textId="77777777" w:rsidR="006353E8" w:rsidRDefault="00AD0BF6">
      <w:pPr>
        <w:spacing w:after="100" w:line="269" w:lineRule="auto"/>
        <w:jc w:val="both"/>
      </w:pPr>
      <w:r>
        <w:rPr>
          <w:rFonts w:ascii="Times New Roman" w:hAnsi="Times New Roman"/>
          <w:sz w:val="24"/>
        </w:rPr>
        <w:t>Suportabilitatea presupune corelarea valorii necesare cu finanțarea nerambursabilă posibilă, disponibilul bugetar pentru cheltuielile neeligibile și costurile de exploatare viitoare. Bugetul fiecărui loc de consum se va determina ulterior, astfel încât amplasamentele cu lucrări suplimentare de consolidare, racordare sau protecție să fie tratate distinct și justificate, fără extrapolarea costului unui singur punct la întregul proiect.</w:t>
      </w:r>
    </w:p>
    <w:p w14:paraId="09DAA073" w14:textId="77777777" w:rsidR="006353E8" w:rsidRDefault="00AD0BF6">
      <w:pPr>
        <w:spacing w:after="80" w:line="269" w:lineRule="auto"/>
        <w:jc w:val="both"/>
      </w:pPr>
      <w:r>
        <w:rPr>
          <w:rFonts w:ascii="Times New Roman" w:hAnsi="Times New Roman"/>
          <w:sz w:val="24"/>
        </w:rPr>
        <w:t>Estimarea cuprinde categoriile anticipate de lucrări și cheltuieli: documentații de proiectare și avizare, eventuale studii sau expertize necesare, structuri de susținere, panouri fotovoltaice, invertoare, baterii, instalații și tablouri electrice, montaj, măsurare, monitorizare, probe, punere în funcțiune, asistență tehnică și rezervele justificate în structura devizului general. Datele de referință sunt numărul amplasamentelor, consumurile acestora și nivelul preliminar al capacităților urmărite. Cheltuielile efective vor depinde de soluția tehnică, condițiile amplasamentelor și prețurile analizate la proiectare.</w:t>
      </w:r>
    </w:p>
    <w:p w14:paraId="234A15B3" w14:textId="77777777" w:rsidR="006353E8" w:rsidRDefault="00AD0BF6">
      <w:pPr>
        <w:keepNext/>
        <w:spacing w:before="140" w:after="80" w:line="269" w:lineRule="auto"/>
        <w:jc w:val="both"/>
      </w:pPr>
      <w:r>
        <w:rPr>
          <w:rFonts w:ascii="Times New Roman" w:hAnsi="Times New Roman"/>
          <w:b/>
          <w:sz w:val="24"/>
        </w:rPr>
        <w:t>3.2. Estimarea cheltuielilor pentru proiectarea, pe faze, a documentației tehnico-economice aferente obiectivului de investiție, precum și pentru elaborarea altor studii de specialitate în funcție de specificul obiectivului de investiții, inclusiv cheltuielile necesare pentru obținerea avizelor, autorizațiilor și acordurilor prevăzute de lege</w:t>
      </w:r>
    </w:p>
    <w:p w14:paraId="6C2F3729" w14:textId="77777777" w:rsidR="006353E8" w:rsidRDefault="00AD0BF6">
      <w:pPr>
        <w:spacing w:after="80" w:line="269" w:lineRule="auto"/>
        <w:jc w:val="both"/>
      </w:pPr>
      <w:r>
        <w:rPr>
          <w:rFonts w:ascii="Times New Roman" w:hAnsi="Times New Roman"/>
          <w:sz w:val="24"/>
        </w:rPr>
        <w:t>Sunt necesare studiul de fezabilitate, documentațiile tehnice pentru obținerea avizelor și autorizațiilor, proiectul tehnic cu detalii de execuție și verificarea acestuia, precum și asistența tehnică în implementare. Costurile acestor servicii se estimează și se individualizează potrivit obligațiilor de proiectare și datelor de piață disponibile la momentul achiziției. Lucrările pe acoperiș sau pe structuri tip carport impun verificările tehnice, acordurile și autorizațiile stabilite după analiza situației concrete și după emiterea certificatului de urbanism, după caz.</w:t>
      </w:r>
    </w:p>
    <w:p w14:paraId="6A641681" w14:textId="77777777" w:rsidR="006353E8" w:rsidRDefault="00AD0BF6">
      <w:pPr>
        <w:spacing w:after="100" w:line="269" w:lineRule="auto"/>
        <w:jc w:val="both"/>
      </w:pPr>
      <w:r>
        <w:rPr>
          <w:rFonts w:ascii="Times New Roman" w:hAnsi="Times New Roman"/>
          <w:sz w:val="24"/>
        </w:rPr>
        <w:t>Fazele avute în vedere includ verificările inițiale și, după caz, ridicări topografice, relevee, expertize structurale, documentații de racordare, avize de amplasament și de patrimoniu, documentația pentru autorizare, proiectul tehnic și asistența tehnică. Pentru fiecare categorie se va verifica dacă este obligatorie și dacă poate fi suportată din bugetul de proiect; nu se estimează de două ori serviciile deja contractate ori executate.</w:t>
      </w:r>
    </w:p>
    <w:p w14:paraId="1CC04163" w14:textId="77777777" w:rsidR="006353E8" w:rsidRDefault="00AD0BF6">
      <w:pPr>
        <w:spacing w:after="100" w:line="269" w:lineRule="auto"/>
        <w:jc w:val="both"/>
      </w:pPr>
      <w:r>
        <w:rPr>
          <w:rFonts w:ascii="Times New Roman" w:hAnsi="Times New Roman"/>
          <w:sz w:val="24"/>
        </w:rPr>
        <w:t>Cheltuiala pentru proiectare va fi calculată pe faze și obiecte, pe baza serviciilor efectiv necesare, a ofertelor ori achizițiilor documentate și a complexității celor 11 amplasamente. Aceasta este o estimare distinctă de valoarea execuției și trebuie verificată de compartimentele economic și achiziții înainte de aprobarea bugetului aferent investiției.</w:t>
      </w:r>
    </w:p>
    <w:p w14:paraId="1699235F" w14:textId="77777777" w:rsidR="006353E8" w:rsidRDefault="00AD0BF6">
      <w:pPr>
        <w:keepNext/>
        <w:spacing w:before="140" w:after="80" w:line="269" w:lineRule="auto"/>
        <w:jc w:val="both"/>
      </w:pPr>
      <w:r>
        <w:rPr>
          <w:rFonts w:ascii="Times New Roman" w:hAnsi="Times New Roman"/>
          <w:b/>
          <w:sz w:val="24"/>
        </w:rPr>
        <w:t>3.3. Surse identificate pentru finanțarea cheltuielilor estimate (în cazul finanțării nerambursabile se va menționa programul operațional/axa corespunzătoare, identificată)</w:t>
      </w:r>
    </w:p>
    <w:p w14:paraId="0BEEB407" w14:textId="77777777" w:rsidR="006353E8" w:rsidRDefault="00AD0BF6">
      <w:pPr>
        <w:spacing w:after="80" w:line="269" w:lineRule="auto"/>
        <w:jc w:val="both"/>
      </w:pPr>
      <w:r>
        <w:rPr>
          <w:rFonts w:ascii="Times New Roman" w:hAnsi="Times New Roman"/>
          <w:sz w:val="24"/>
        </w:rPr>
        <w:t xml:space="preserve">Se are în vedere depunerea unei cereri la Fondul pentru modernizare, Programul-cheie 1, apelul pentru noi capacități de producere a energiei electrice din surse solare cu capacități de stocare integrate, pentru autoconsumul entităților publice. Bugetul județului va asigura contribuția </w:t>
      </w:r>
      <w:r>
        <w:rPr>
          <w:rFonts w:ascii="Times New Roman" w:hAnsi="Times New Roman"/>
          <w:sz w:val="24"/>
        </w:rPr>
        <w:lastRenderedPageBreak/>
        <w:t>proprie, TVA și cheltuielile neeligibile, după caz, în limitele aprobărilor bugetare. Procentul finanțării și categoriile eligibile se stabilesc exclusiv potrivit ghidului aplicabil și rezultatului evaluării.</w:t>
      </w:r>
    </w:p>
    <w:p w14:paraId="5F7D3314" w14:textId="77777777" w:rsidR="006353E8" w:rsidRDefault="00AD0BF6">
      <w:pPr>
        <w:spacing w:after="100" w:line="269" w:lineRule="auto"/>
        <w:jc w:val="both"/>
      </w:pPr>
      <w:r>
        <w:rPr>
          <w:rFonts w:ascii="Times New Roman" w:hAnsi="Times New Roman"/>
          <w:sz w:val="24"/>
        </w:rPr>
        <w:t>Sursa nerambursabilă identificată este apelul pentru noi capacități solare cu stocare integrată destinate autoconsumului entităților publice; încadrarea exactă a solicitantului și a fiecărui loc se verifică pe ghidul aplicabil la depunere. În eventualitatea în care o componentă ori un amplasament nu este eligibil, acesta nu se prezumă finanțat prin program, iar obligația de acoperire din bugetul propriu se supune aprobărilor legale.</w:t>
      </w:r>
    </w:p>
    <w:p w14:paraId="611D6B7E" w14:textId="77777777" w:rsidR="006353E8" w:rsidRDefault="00AD0BF6">
      <w:pPr>
        <w:keepNext/>
        <w:spacing w:before="140" w:after="80" w:line="269" w:lineRule="auto"/>
        <w:jc w:val="both"/>
      </w:pPr>
      <w:r>
        <w:rPr>
          <w:rFonts w:ascii="Times New Roman" w:hAnsi="Times New Roman"/>
          <w:b/>
          <w:sz w:val="24"/>
        </w:rPr>
        <w:t>4. Informații privind regimul juridic, economic și tehnic al terenului și/sau al construcției existente</w:t>
      </w:r>
    </w:p>
    <w:p w14:paraId="40B1A9D3" w14:textId="77777777" w:rsidR="006353E8" w:rsidRDefault="00AD0BF6">
      <w:pPr>
        <w:spacing w:after="80" w:line="269" w:lineRule="auto"/>
        <w:jc w:val="both"/>
      </w:pPr>
      <w:r>
        <w:rPr>
          <w:rFonts w:ascii="Times New Roman" w:hAnsi="Times New Roman"/>
          <w:sz w:val="24"/>
        </w:rPr>
        <w:t>Investiția privește amplasamente aferente unor obiective publice din județul Vrancea, cu situații juridice și administrative distincte. Pentru fiecare loc de consum vor fi colectate și confruntate extrasul de carte funciară, documentația cadastrală, actele de proprietate sau de administrare/folosință, precum și acordul titularului dreptului relevant pentru realizarea lucrărilor. Poziționarea panourilor, a structurilor de susținere, a invertoarelor și a bateriilor se va face numai pe suprafețele pentru care există drepturile și avizele necesare. Numerele cadastrale urmează să fie verificate individual.</w:t>
      </w:r>
    </w:p>
    <w:p w14:paraId="7ACCD073" w14:textId="77777777" w:rsidR="006353E8" w:rsidRDefault="00AD0BF6">
      <w:pPr>
        <w:spacing w:after="100" w:line="269" w:lineRule="auto"/>
        <w:jc w:val="both"/>
      </w:pPr>
      <w:r>
        <w:rPr>
          <w:rFonts w:ascii="Times New Roman" w:hAnsi="Times New Roman"/>
          <w:sz w:val="24"/>
        </w:rPr>
        <w:t>Actele de administrare a construcției și titularul contractului de furnizare nu reprezintă automat același drept juridic. Pentru punctele aflate în folosința instituțiilor subordonate sau a altor entități se vor verifica titularul dreptului asupra clădirii ori terenului, acordul pentru montaj, dreptul de acces la echipamente și responsabilitatea exploatării. Nu se vor atribui județului, fără verificare, drepturi asupra tuturor acoperișurilor doar pentru că U.A.T. Județul Vrancea promovează investiția.</w:t>
      </w:r>
    </w:p>
    <w:p w14:paraId="1E65D2F3" w14:textId="77777777" w:rsidR="006353E8" w:rsidRDefault="00AD0BF6">
      <w:pPr>
        <w:spacing w:after="100" w:line="269" w:lineRule="auto"/>
        <w:jc w:val="both"/>
      </w:pPr>
      <w:r>
        <w:rPr>
          <w:rFonts w:ascii="Times New Roman" w:hAnsi="Times New Roman"/>
          <w:sz w:val="24"/>
        </w:rPr>
        <w:t>Identificatorii cadastrali și codurile locurilor de consum din documentația tehnică disponibilă servesc la inițierea verificărilor, nu înlocuiesc extrasele de carte funciară actualizate, contractele și planurile de situație. Pentru montaj pe acoperiș se clarifică inclusiv dreptul de a interveni asupra părților comune și asupra învelitorii; pentru carport se confirmă dreptul de construire pe terenul efectiv afectat.</w:t>
      </w:r>
    </w:p>
    <w:p w14:paraId="435A81D4" w14:textId="77777777" w:rsidR="006353E8" w:rsidRDefault="00AD0BF6">
      <w:pPr>
        <w:keepNext/>
        <w:spacing w:before="140" w:after="80" w:line="269" w:lineRule="auto"/>
        <w:jc w:val="both"/>
      </w:pPr>
      <w:r>
        <w:rPr>
          <w:rFonts w:ascii="Times New Roman" w:hAnsi="Times New Roman"/>
          <w:b/>
          <w:sz w:val="24"/>
        </w:rPr>
        <w:t>5. Particularități ale amplasamentului/amplasamentelor propus(e) pentru realizarea obiectivului de investiții:</w:t>
      </w:r>
    </w:p>
    <w:p w14:paraId="02337BC9" w14:textId="77777777" w:rsidR="006353E8" w:rsidRDefault="00AD0BF6">
      <w:pPr>
        <w:keepNext/>
        <w:spacing w:before="140" w:after="80" w:line="269" w:lineRule="auto"/>
        <w:jc w:val="both"/>
      </w:pPr>
      <w:r>
        <w:rPr>
          <w:rFonts w:ascii="Times New Roman" w:hAnsi="Times New Roman"/>
          <w:b/>
          <w:sz w:val="24"/>
        </w:rPr>
        <w:t>a) descrierea succintă a amplasamentului/amplasamentelor propus(e) (localizare, suprafața terenului, dimensiuni în plan);</w:t>
      </w:r>
    </w:p>
    <w:p w14:paraId="0C20725D" w14:textId="77777777" w:rsidR="006353E8" w:rsidRDefault="00AD0BF6">
      <w:pPr>
        <w:spacing w:after="80" w:line="269" w:lineRule="auto"/>
        <w:jc w:val="both"/>
      </w:pPr>
      <w:r>
        <w:rPr>
          <w:rFonts w:ascii="Times New Roman" w:hAnsi="Times New Roman"/>
          <w:sz w:val="24"/>
        </w:rPr>
        <w:t>Cele 11 locuri de consum propuse sunt enumerate mai jos. Suprafețele efectiv utilizabile, amprentele structurilor și dimensiunile în plan se vor stabili prin verificarea amplasamentelor, planuri cadastrale, relevee și analiză tehnică.</w:t>
      </w:r>
    </w:p>
    <w:p w14:paraId="53D010EF" w14:textId="77777777" w:rsidR="006353E8" w:rsidRDefault="00AD0BF6">
      <w:pPr>
        <w:spacing w:after="100" w:line="269" w:lineRule="auto"/>
        <w:jc w:val="both"/>
      </w:pPr>
      <w:r>
        <w:rPr>
          <w:rFonts w:ascii="Times New Roman" w:hAnsi="Times New Roman"/>
          <w:sz w:val="24"/>
        </w:rPr>
        <w:t>Stadionul Milcov și Bazinul au aceeași adresă generală în materialul de referință, dar consumuri și evidențe distincte. La Baza de Agrement și Tronson Iluminat 1 denumirea locului de consum va fi completată, după verificarea actelor, cu adresa și delimitarea cadastrală exactă. În incintele cu mai multe corpuri, verificarea se face pe contorul căruia îi va fi atribuită investiția, nu prin multiplicarea artificială a numărului de obiective.</w:t>
      </w:r>
    </w:p>
    <w:p w14:paraId="702685AA" w14:textId="77777777" w:rsidR="006353E8" w:rsidRDefault="00AD0BF6">
      <w:pPr>
        <w:spacing w:after="100" w:line="269" w:lineRule="auto"/>
        <w:jc w:val="both"/>
      </w:pPr>
      <w:r>
        <w:rPr>
          <w:rFonts w:ascii="Times New Roman" w:hAnsi="Times New Roman"/>
          <w:sz w:val="24"/>
        </w:rPr>
        <w:t xml:space="preserve">Între locații există diferențe importante de mărime: Bazinul și Baza de Agrement justifică o analiză mai amplă a suprafețelor și a modului de montaj; obiectivele cu consum redus pot necesita instalații mai mici, în funcție de curbele reale de sarcină. Pentru fiecare punct, </w:t>
      </w:r>
      <w:r>
        <w:rPr>
          <w:rFonts w:ascii="Times New Roman" w:hAnsi="Times New Roman"/>
          <w:sz w:val="24"/>
        </w:rPr>
        <w:lastRenderedPageBreak/>
        <w:t>proiectantul va preda planul cu suprafața disponibilă și umbrirea, locul bateriei, traseele cablurilor și distanța până la tabloul de racordare.</w:t>
      </w:r>
    </w:p>
    <w:p w14:paraId="10E2CE69" w14:textId="77777777" w:rsidR="006353E8" w:rsidRDefault="00AD0BF6">
      <w:pPr>
        <w:spacing w:after="60" w:line="269" w:lineRule="auto"/>
        <w:ind w:left="198" w:hanging="198"/>
      </w:pPr>
      <w:r>
        <w:rPr>
          <w:rFonts w:ascii="Times New Roman" w:hAnsi="Times New Roman"/>
          <w:sz w:val="24"/>
        </w:rPr>
        <w:t>1. Stadion Milcov-Vrancea, Focșani, Aleea Stadionului nr. 2 (consum de referință: circa 6.656 kWh/an).</w:t>
      </w:r>
    </w:p>
    <w:p w14:paraId="68154B2A" w14:textId="77777777" w:rsidR="006353E8" w:rsidRDefault="00AD0BF6">
      <w:pPr>
        <w:spacing w:after="100" w:line="269" w:lineRule="auto"/>
        <w:jc w:val="both"/>
      </w:pPr>
      <w:r>
        <w:rPr>
          <w:rFonts w:ascii="Times New Roman" w:hAnsi="Times New Roman"/>
          <w:sz w:val="24"/>
        </w:rPr>
        <w:t>Consumul anual redus al Stadionului justifică o soluție dimensionată pe profilul real al evenimentelor și al utilizării curente, nu după capacitatea energetică a Bazinului aflat la aceeași adresă. Se vor examina suprafețele disponibile fără afectarea terenurilor și a circulațiilor, respectiv relația cu tabloul și contorul aferent acestui obiectiv.</w:t>
      </w:r>
    </w:p>
    <w:p w14:paraId="13F16CDE" w14:textId="77777777" w:rsidR="006353E8" w:rsidRDefault="00AD0BF6">
      <w:pPr>
        <w:spacing w:after="60" w:line="269" w:lineRule="auto"/>
        <w:ind w:left="198" w:hanging="198"/>
      </w:pPr>
      <w:r>
        <w:rPr>
          <w:rFonts w:ascii="Times New Roman" w:hAnsi="Times New Roman"/>
          <w:sz w:val="24"/>
        </w:rPr>
        <w:t>2. Bazin, Focșani, Aleea Stadionului nr. 2 (consum de referință: circa 448.844 kWh/an).</w:t>
      </w:r>
    </w:p>
    <w:p w14:paraId="2FEA35A0" w14:textId="77777777" w:rsidR="006353E8" w:rsidRDefault="00AD0BF6">
      <w:pPr>
        <w:spacing w:after="100" w:line="269" w:lineRule="auto"/>
        <w:jc w:val="both"/>
      </w:pPr>
      <w:r>
        <w:rPr>
          <w:rFonts w:ascii="Times New Roman" w:hAnsi="Times New Roman"/>
          <w:sz w:val="24"/>
        </w:rPr>
        <w:t>Bazinul concentrează cea mai mare parte a cererii anuale de energie din grupul propus. Această particularitate justifică examinarea unor suprafețe de montaj mai întinse, inclusiv structuri de parcare, dacă actele și configurația terenului permit. Dimensionarea se va baza pe consumul efectiv al instalațiilor Bazinului și pe intervalele sale de funcționare, fără repartizarea către alte locuri de consum.</w:t>
      </w:r>
    </w:p>
    <w:p w14:paraId="4717FEB6" w14:textId="77777777" w:rsidR="006353E8" w:rsidRDefault="00AD0BF6">
      <w:pPr>
        <w:spacing w:after="60" w:line="269" w:lineRule="auto"/>
        <w:ind w:left="198" w:hanging="198"/>
      </w:pPr>
      <w:r>
        <w:rPr>
          <w:rFonts w:ascii="Times New Roman" w:hAnsi="Times New Roman"/>
          <w:sz w:val="24"/>
        </w:rPr>
        <w:t>3. Baza de Agrement, județul Vrancea (consum de referință: circa 141.420 kWh/an).</w:t>
      </w:r>
    </w:p>
    <w:p w14:paraId="7E935FCF" w14:textId="77777777" w:rsidR="006353E8" w:rsidRDefault="00AD0BF6">
      <w:pPr>
        <w:spacing w:after="100" w:line="269" w:lineRule="auto"/>
        <w:jc w:val="both"/>
      </w:pPr>
      <w:r>
        <w:rPr>
          <w:rFonts w:ascii="Times New Roman" w:hAnsi="Times New Roman"/>
          <w:sz w:val="24"/>
        </w:rPr>
        <w:t>La Baza de Agrement, cererea anuală este semnificativă și poate avea variații în funcție de activitatea sezonieră. Sunt necesare verificarea suprafețelor disponibile, a accesului și a modului în care o structură fotovoltaică poate coexista cu funcțiunea de agrement. Adresa exactă și suprafețele afectate vor fi confirmate prin documentele de amplasament.</w:t>
      </w:r>
    </w:p>
    <w:p w14:paraId="76CF8447" w14:textId="77777777" w:rsidR="006353E8" w:rsidRDefault="00AD0BF6">
      <w:pPr>
        <w:spacing w:after="60" w:line="269" w:lineRule="auto"/>
        <w:ind w:left="198" w:hanging="198"/>
      </w:pPr>
      <w:r>
        <w:rPr>
          <w:rFonts w:ascii="Times New Roman" w:hAnsi="Times New Roman"/>
          <w:sz w:val="24"/>
        </w:rPr>
        <w:t>4. Tronson Iluminat 1, județul Vrancea (consum de referință: circa 16.503 kWh/an).</w:t>
      </w:r>
    </w:p>
    <w:p w14:paraId="12129035" w14:textId="77777777" w:rsidR="006353E8" w:rsidRDefault="00AD0BF6">
      <w:pPr>
        <w:spacing w:after="100" w:line="269" w:lineRule="auto"/>
        <w:jc w:val="both"/>
      </w:pPr>
      <w:r>
        <w:rPr>
          <w:rFonts w:ascii="Times New Roman" w:hAnsi="Times New Roman"/>
          <w:sz w:val="24"/>
        </w:rPr>
        <w:t>Tronsonul de iluminat prezintă o cerere energetică de alt tip decât cea a clădirilor publice, posibil concentrată în intervalul nocturn. Investiția se justifică numai dacă analiza arată că producția și bateria deservesc acest loc de consum în condițiile apelului; punctul electric, terenul și echipamentele de comandă trebuie identificate distinct.</w:t>
      </w:r>
    </w:p>
    <w:p w14:paraId="6D32F0D5" w14:textId="77777777" w:rsidR="006353E8" w:rsidRDefault="00AD0BF6">
      <w:pPr>
        <w:spacing w:after="60" w:line="269" w:lineRule="auto"/>
        <w:ind w:left="198" w:hanging="198"/>
      </w:pPr>
      <w:r>
        <w:rPr>
          <w:rFonts w:ascii="Times New Roman" w:hAnsi="Times New Roman"/>
          <w:sz w:val="24"/>
        </w:rPr>
        <w:t>5. Centrul de Îngrijire și Asistență Sf. Maria Golești, str. Căprioarei nr. 19 (consum de referință: circa 10.974 kWh/an).</w:t>
      </w:r>
    </w:p>
    <w:p w14:paraId="564E0254" w14:textId="77777777" w:rsidR="006353E8" w:rsidRDefault="00AD0BF6">
      <w:pPr>
        <w:spacing w:after="100" w:line="269" w:lineRule="auto"/>
        <w:jc w:val="both"/>
      </w:pPr>
      <w:r>
        <w:rPr>
          <w:rFonts w:ascii="Times New Roman" w:hAnsi="Times New Roman"/>
          <w:sz w:val="24"/>
        </w:rPr>
        <w:t>Centrul de Îngrijire și Asistență Sf. Maria Golești este un obiectiv cu activități de îngrijire care nu trebuie întrerupte prin execuția investiției. Se vor identifica suprafețe de amplasare și trasee electrice compatibile cu siguranța utilizatorilor și cu exploatarea clădirii. Proiectul nu poate presupune o rezervă de capacitate a structurii existente fără verificare.</w:t>
      </w:r>
    </w:p>
    <w:p w14:paraId="09BC4089" w14:textId="77777777" w:rsidR="006353E8" w:rsidRDefault="00AD0BF6">
      <w:pPr>
        <w:spacing w:after="60" w:line="269" w:lineRule="auto"/>
        <w:ind w:left="198" w:hanging="198"/>
      </w:pPr>
      <w:r>
        <w:rPr>
          <w:rFonts w:ascii="Times New Roman" w:hAnsi="Times New Roman"/>
          <w:sz w:val="24"/>
        </w:rPr>
        <w:t>6. CABR Jariștea, comuna Jariștea (consum de referință: circa 19.167 kWh/an).</w:t>
      </w:r>
    </w:p>
    <w:p w14:paraId="16049074" w14:textId="77777777" w:rsidR="006353E8" w:rsidRDefault="00AD0BF6">
      <w:pPr>
        <w:spacing w:after="100" w:line="269" w:lineRule="auto"/>
        <w:jc w:val="both"/>
      </w:pPr>
      <w:r>
        <w:rPr>
          <w:rFonts w:ascii="Times New Roman" w:hAnsi="Times New Roman"/>
          <w:sz w:val="24"/>
        </w:rPr>
        <w:t>La CABR Jariștea, amplasamentul include mai multe corpuri și identificatori cadastrali înscriși în materialul tehnic. Este necesară clarificarea clădirilor sau suprafețelor ce pot deservi efectiv același loc de consum, a drepturilor asupra acestora și a costurilor racordării interne. Investiția trebuie justificată prin consumul documentat, nu prin numărul de corpuri disponibile.</w:t>
      </w:r>
    </w:p>
    <w:p w14:paraId="48266CF6" w14:textId="77777777" w:rsidR="006353E8" w:rsidRDefault="00AD0BF6">
      <w:pPr>
        <w:spacing w:after="60" w:line="269" w:lineRule="auto"/>
        <w:ind w:left="198" w:hanging="198"/>
      </w:pPr>
      <w:r>
        <w:rPr>
          <w:rFonts w:ascii="Times New Roman" w:hAnsi="Times New Roman"/>
          <w:sz w:val="24"/>
        </w:rPr>
        <w:t>7. CABR Cotești, comuna Cotești, str. Cuza Vodă nr. 1 (consum de referință: circa 36.460 kWh/an).</w:t>
      </w:r>
    </w:p>
    <w:p w14:paraId="052EE366" w14:textId="77777777" w:rsidR="006353E8" w:rsidRDefault="00AD0BF6">
      <w:pPr>
        <w:spacing w:after="100" w:line="269" w:lineRule="auto"/>
        <w:jc w:val="both"/>
      </w:pPr>
      <w:r>
        <w:rPr>
          <w:rFonts w:ascii="Times New Roman" w:hAnsi="Times New Roman"/>
          <w:sz w:val="24"/>
        </w:rPr>
        <w:t>La CABR Cotești se va verifica legătura dintre suprafețele construite, locul de consum și posibilul traseu de instalare a echipamentelor. Alegerea montajului pe acoperiș ori pe teren depinde de starea tehnică, de spațiul disponibil și de accesul necesar întreținerii. Funcționarea serviciilor sociale va fi menținută în timpul lucrărilor.</w:t>
      </w:r>
    </w:p>
    <w:p w14:paraId="72D68536" w14:textId="77777777" w:rsidR="006353E8" w:rsidRDefault="00AD0BF6">
      <w:pPr>
        <w:spacing w:after="60" w:line="269" w:lineRule="auto"/>
        <w:ind w:left="198" w:hanging="198"/>
      </w:pPr>
      <w:r>
        <w:rPr>
          <w:rFonts w:ascii="Times New Roman" w:hAnsi="Times New Roman"/>
          <w:sz w:val="24"/>
        </w:rPr>
        <w:lastRenderedPageBreak/>
        <w:t>8. CIA Măicănești, comuna Măicănești, str. Domnească nr. 93 (consum de referință: circa 53.047 kWh/an).</w:t>
      </w:r>
    </w:p>
    <w:p w14:paraId="2AC15B8F" w14:textId="77777777" w:rsidR="006353E8" w:rsidRDefault="00AD0BF6">
      <w:pPr>
        <w:spacing w:after="100" w:line="269" w:lineRule="auto"/>
        <w:jc w:val="both"/>
      </w:pPr>
      <w:r>
        <w:rPr>
          <w:rFonts w:ascii="Times New Roman" w:hAnsi="Times New Roman"/>
          <w:sz w:val="24"/>
        </w:rPr>
        <w:t>Pentru CIA Măicănești se vor corela consumul de referință, clădirile din incintă și posibilitatea unei soluții distribuite pe acoperișuri. O împărțire a panourilor între corpuri nu justifică multiplicarea locurilor de consum; se va stabili configurația electrică reală și se vor verifica distinct condițiile de rezistență și acces pentru fiecare acoperiș.</w:t>
      </w:r>
    </w:p>
    <w:p w14:paraId="56E24900" w14:textId="77777777" w:rsidR="006353E8" w:rsidRDefault="00AD0BF6">
      <w:pPr>
        <w:spacing w:after="60" w:line="269" w:lineRule="auto"/>
        <w:ind w:left="198" w:hanging="198"/>
      </w:pPr>
      <w:r>
        <w:rPr>
          <w:rFonts w:ascii="Times New Roman" w:hAnsi="Times New Roman"/>
          <w:sz w:val="24"/>
        </w:rPr>
        <w:t>9. Muzeu Soveja, Dragosloveni, comuna Soveja (consum de referință: circa 7.049 kWh/an).</w:t>
      </w:r>
    </w:p>
    <w:p w14:paraId="42176CDA" w14:textId="77777777" w:rsidR="006353E8" w:rsidRDefault="00AD0BF6">
      <w:pPr>
        <w:spacing w:after="100" w:line="269" w:lineRule="auto"/>
        <w:jc w:val="both"/>
      </w:pPr>
      <w:r>
        <w:rPr>
          <w:rFonts w:ascii="Times New Roman" w:hAnsi="Times New Roman"/>
          <w:sz w:val="24"/>
        </w:rPr>
        <w:t>Muzeul Soveja are un consum de referință mai redus, iar soluția trebuie să rămână proporțională cu necesarul local. Amplasarea propusă va fi verificată și în raport cu eventuale constrângeri de patrimoniu sau de protecție a peisajului, fără a presupune anticipat că imobilul este monument ori că nu există restricții.</w:t>
      </w:r>
    </w:p>
    <w:p w14:paraId="17B7B799" w14:textId="77777777" w:rsidR="006353E8" w:rsidRDefault="00AD0BF6">
      <w:pPr>
        <w:spacing w:after="60" w:line="269" w:lineRule="auto"/>
        <w:ind w:left="198" w:hanging="198"/>
      </w:pPr>
      <w:r>
        <w:rPr>
          <w:rFonts w:ascii="Times New Roman" w:hAnsi="Times New Roman"/>
          <w:sz w:val="24"/>
        </w:rPr>
        <w:t>10. Sediu Tribunal, str. Cuza Vodă nr. 8 (consum de referință: circa 108.463 kWh/an).</w:t>
      </w:r>
    </w:p>
    <w:p w14:paraId="7E0B183C" w14:textId="77777777" w:rsidR="006353E8" w:rsidRDefault="00AD0BF6">
      <w:pPr>
        <w:spacing w:after="100" w:line="269" w:lineRule="auto"/>
        <w:jc w:val="both"/>
      </w:pPr>
      <w:r>
        <w:rPr>
          <w:rFonts w:ascii="Times New Roman" w:hAnsi="Times New Roman"/>
          <w:sz w:val="24"/>
        </w:rPr>
        <w:t>Sediul Tribunalului are un consum important și poate oferi mai multe suprafețe de acoperiș. Se vor verifica unitatea locului de consum, accesul în incintă, compatibilitatea cu funcționarea instituției și situația juridică a construcției. Investiția este preconizată pentru reducerea energiei cumpărate la acel punct, nu pentru alimentarea altor sedii.</w:t>
      </w:r>
    </w:p>
    <w:p w14:paraId="0AADA3B8" w14:textId="77777777" w:rsidR="006353E8" w:rsidRDefault="00AD0BF6">
      <w:pPr>
        <w:spacing w:after="60" w:line="269" w:lineRule="auto"/>
        <w:ind w:left="198" w:hanging="198"/>
      </w:pPr>
      <w:r>
        <w:rPr>
          <w:rFonts w:ascii="Times New Roman" w:hAnsi="Times New Roman"/>
          <w:sz w:val="24"/>
        </w:rPr>
        <w:t>11. Salvamont Păulești, comuna Păulești (consum de referință: circa 13.687 kWh/an).</w:t>
      </w:r>
    </w:p>
    <w:p w14:paraId="426E8F4D" w14:textId="77777777" w:rsidR="006353E8" w:rsidRDefault="00AD0BF6">
      <w:pPr>
        <w:spacing w:after="100" w:line="269" w:lineRule="auto"/>
        <w:jc w:val="both"/>
      </w:pPr>
      <w:r>
        <w:rPr>
          <w:rFonts w:ascii="Times New Roman" w:hAnsi="Times New Roman"/>
          <w:sz w:val="24"/>
        </w:rPr>
        <w:t>La Salvamont Păulești sunt relevante atât consumul propriu, cât și condițiile de acces și expunere ale amplasamentului. O instalație mică, adaptată sarcinilor efective, va fi analizată împreună cu posibilitatea montării în siguranță, cu rezistența la vânt și zăpadă și cu condițiile de intervenție în situații de urgență.</w:t>
      </w:r>
    </w:p>
    <w:p w14:paraId="267C656D" w14:textId="77777777" w:rsidR="006353E8" w:rsidRDefault="00AD0BF6">
      <w:pPr>
        <w:keepNext/>
        <w:spacing w:before="140" w:after="80" w:line="269" w:lineRule="auto"/>
        <w:jc w:val="both"/>
      </w:pPr>
      <w:r>
        <w:rPr>
          <w:rFonts w:ascii="Times New Roman" w:hAnsi="Times New Roman"/>
          <w:b/>
          <w:sz w:val="24"/>
        </w:rPr>
        <w:t>b) relațiile cu zone învecinate, accesuri existente și/sau căi de acces posibile;</w:t>
      </w:r>
    </w:p>
    <w:p w14:paraId="0D4BC205" w14:textId="77777777" w:rsidR="006353E8" w:rsidRDefault="00AD0BF6">
      <w:pPr>
        <w:spacing w:after="80" w:line="269" w:lineRule="auto"/>
        <w:jc w:val="both"/>
      </w:pPr>
      <w:r>
        <w:rPr>
          <w:rFonts w:ascii="Times New Roman" w:hAnsi="Times New Roman"/>
          <w:sz w:val="24"/>
        </w:rPr>
        <w:t>Accesul pentru montaj, mentenanță și intervenții de urgență se va realiza prin căile de acces existente ale fiecărui obiectiv, în condițiile care vor fi stabilite prin analiza amplasamentului. În spațiile deschise publicului se vor prevedea delimitarea și protecția echipamentelor.</w:t>
      </w:r>
    </w:p>
    <w:p w14:paraId="2E5EEEDE" w14:textId="77777777" w:rsidR="006353E8" w:rsidRDefault="00AD0BF6">
      <w:pPr>
        <w:spacing w:after="100" w:line="269" w:lineRule="auto"/>
        <w:jc w:val="both"/>
      </w:pPr>
      <w:r>
        <w:rPr>
          <w:rFonts w:ascii="Times New Roman" w:hAnsi="Times New Roman"/>
          <w:sz w:val="24"/>
        </w:rPr>
        <w:t>La Bazin și Baza de Agrement se analizează menținerea parcărilor și a fluxurilor pietonale pe perioada realizării unor eventuale carporturi; la Stadion se protejează circulațiile pentru evenimente; la centrele sociale accesul echipelor tehnice trebuie organizat fără perturbarea activităților de îngrijire. În spațiile unde publicul are acces, zonele electrice se separă corespunzător.</w:t>
      </w:r>
    </w:p>
    <w:p w14:paraId="0AFE8535" w14:textId="77777777" w:rsidR="006353E8" w:rsidRDefault="00AD0BF6">
      <w:pPr>
        <w:keepNext/>
        <w:spacing w:before="140" w:after="80" w:line="269" w:lineRule="auto"/>
        <w:jc w:val="both"/>
      </w:pPr>
      <w:r>
        <w:rPr>
          <w:rFonts w:ascii="Times New Roman" w:hAnsi="Times New Roman"/>
          <w:b/>
          <w:sz w:val="24"/>
        </w:rPr>
        <w:t>c) surse de poluare existente în zonă;</w:t>
      </w:r>
    </w:p>
    <w:p w14:paraId="6148EB76" w14:textId="77777777" w:rsidR="006353E8" w:rsidRDefault="00AD0BF6">
      <w:pPr>
        <w:spacing w:after="80" w:line="269" w:lineRule="auto"/>
        <w:jc w:val="both"/>
      </w:pPr>
      <w:r>
        <w:rPr>
          <w:rFonts w:ascii="Times New Roman" w:hAnsi="Times New Roman"/>
          <w:sz w:val="24"/>
        </w:rPr>
        <w:t>Se vor identifica eventualele surse de poluare relevante pentru echipamente la fiecare locație. Exploatarea instalațiilor fotovoltaice nu implică arderea combustibililor la locul de consum.</w:t>
      </w:r>
    </w:p>
    <w:p w14:paraId="457E0A53" w14:textId="77777777" w:rsidR="006353E8" w:rsidRDefault="00AD0BF6">
      <w:pPr>
        <w:spacing w:after="100" w:line="269" w:lineRule="auto"/>
        <w:jc w:val="both"/>
      </w:pPr>
      <w:r>
        <w:rPr>
          <w:rFonts w:ascii="Times New Roman" w:hAnsi="Times New Roman"/>
          <w:sz w:val="24"/>
        </w:rPr>
        <w:t>Praful depus pe module, coroziunea și vegetația din apropiere sunt factori de amplasament care pot modifica atât soluția constructivă, cât și planul de întreținere. Nu se declară lipsa unor poluări locale fără constatare pe teren; amplasarea se stabilește astfel încât să nu afecteze scurgerile pluviale și utilizarea existentă.</w:t>
      </w:r>
    </w:p>
    <w:p w14:paraId="0F5EE0AE" w14:textId="77777777" w:rsidR="006353E8" w:rsidRDefault="00AD0BF6">
      <w:pPr>
        <w:keepNext/>
        <w:spacing w:before="140" w:after="80" w:line="269" w:lineRule="auto"/>
        <w:jc w:val="both"/>
      </w:pPr>
      <w:r>
        <w:rPr>
          <w:rFonts w:ascii="Times New Roman" w:hAnsi="Times New Roman"/>
          <w:b/>
          <w:sz w:val="24"/>
        </w:rPr>
        <w:t>d) particularități de relief;</w:t>
      </w:r>
    </w:p>
    <w:p w14:paraId="45DE3479" w14:textId="77777777" w:rsidR="006353E8" w:rsidRDefault="00AD0BF6">
      <w:pPr>
        <w:spacing w:after="80" w:line="269" w:lineRule="auto"/>
        <w:jc w:val="both"/>
      </w:pPr>
      <w:r>
        <w:rPr>
          <w:rFonts w:ascii="Times New Roman" w:hAnsi="Times New Roman"/>
          <w:sz w:val="24"/>
        </w:rPr>
        <w:t>Relieful și expunerea solară diferă între Focșani, Soveja, Păulești și celelalte localități. Se vor evalua umbrirea, orientarea, vântul și încărcările structurilor în funcție de amplasament.</w:t>
      </w:r>
    </w:p>
    <w:p w14:paraId="788FE7CF" w14:textId="77777777" w:rsidR="006353E8" w:rsidRDefault="00AD0BF6">
      <w:pPr>
        <w:spacing w:after="100" w:line="269" w:lineRule="auto"/>
        <w:jc w:val="both"/>
      </w:pPr>
      <w:r>
        <w:rPr>
          <w:rFonts w:ascii="Times New Roman" w:hAnsi="Times New Roman"/>
          <w:sz w:val="24"/>
        </w:rPr>
        <w:t xml:space="preserve">Zona montană Soveja–Păulești poate avea condiții de acces și încărcări climatice diferite de Focșani și de locațiile din câmpie. Calculul rezistenței structurilor, orientarea și unghiul </w:t>
      </w:r>
      <w:r>
        <w:rPr>
          <w:rFonts w:ascii="Times New Roman" w:hAnsi="Times New Roman"/>
          <w:sz w:val="24"/>
        </w:rPr>
        <w:lastRenderedPageBreak/>
        <w:t>modulelor se stabilesc pentru fiecare situație, ținând seama de umbriri, zăpadă, vânt și intervenția în siguranță.</w:t>
      </w:r>
    </w:p>
    <w:p w14:paraId="43BCF8F2" w14:textId="77777777" w:rsidR="006353E8" w:rsidRDefault="00AD0BF6">
      <w:pPr>
        <w:keepNext/>
        <w:spacing w:before="140" w:after="80" w:line="269" w:lineRule="auto"/>
        <w:jc w:val="both"/>
      </w:pPr>
      <w:r>
        <w:rPr>
          <w:rFonts w:ascii="Times New Roman" w:hAnsi="Times New Roman"/>
          <w:b/>
          <w:sz w:val="24"/>
        </w:rPr>
        <w:t>e) nivel de echipare tehnico-edilitară a zonei și posibilități de asigurare a utilităților;</w:t>
      </w:r>
    </w:p>
    <w:p w14:paraId="43A7226C" w14:textId="77777777" w:rsidR="006353E8" w:rsidRDefault="00AD0BF6">
      <w:pPr>
        <w:spacing w:after="80" w:line="269" w:lineRule="auto"/>
        <w:jc w:val="both"/>
      </w:pPr>
      <w:r>
        <w:rPr>
          <w:rFonts w:ascii="Times New Roman" w:hAnsi="Times New Roman"/>
          <w:sz w:val="24"/>
        </w:rPr>
        <w:t>Fiecare obiectiv are un loc de consum electric care se analizează distinct. Sunt necesare verificări ale tablourilor generale, branșamentelor, punctelor de delimitare și capacității de racordare.</w:t>
      </w:r>
    </w:p>
    <w:p w14:paraId="7DE06026" w14:textId="77777777" w:rsidR="006353E8" w:rsidRDefault="00AD0BF6">
      <w:pPr>
        <w:spacing w:after="100" w:line="269" w:lineRule="auto"/>
        <w:jc w:val="both"/>
      </w:pPr>
      <w:r>
        <w:rPr>
          <w:rFonts w:ascii="Times New Roman" w:hAnsi="Times New Roman"/>
          <w:sz w:val="24"/>
        </w:rPr>
        <w:t>Se vor colecta facturile pe perioada de referință, puterea aprobată și documentele de racordare; după caz se solicită operatorului de distribuție condițiile de racordare pentru instalația de producere și stocare. Proiectul trebuie să arate modul de măsurare a energiei produse, stocate, consumate și schimbate cu rețeaua fără a presupune din oficiu că instalația existentă poate prelua întreaga putere preconizată.</w:t>
      </w:r>
    </w:p>
    <w:p w14:paraId="23D5869F" w14:textId="77777777" w:rsidR="006353E8" w:rsidRDefault="00AD0BF6">
      <w:pPr>
        <w:keepNext/>
        <w:spacing w:before="140" w:after="80" w:line="269" w:lineRule="auto"/>
        <w:jc w:val="both"/>
      </w:pPr>
      <w:r>
        <w:rPr>
          <w:rFonts w:ascii="Times New Roman" w:hAnsi="Times New Roman"/>
          <w:b/>
          <w:sz w:val="24"/>
        </w:rPr>
        <w:t>f) existența unor eventuale rețele edilitare în amplasament care ar necesita relocare/protejare, în măsura în care pot fi identificate;</w:t>
      </w:r>
    </w:p>
    <w:p w14:paraId="519A3C21" w14:textId="77777777" w:rsidR="006353E8" w:rsidRDefault="00AD0BF6">
      <w:pPr>
        <w:spacing w:after="80" w:line="269" w:lineRule="auto"/>
        <w:jc w:val="both"/>
      </w:pPr>
      <w:r>
        <w:rPr>
          <w:rFonts w:ascii="Times New Roman" w:hAnsi="Times New Roman"/>
          <w:sz w:val="24"/>
        </w:rPr>
        <w:t>Rețelele existente și interferențele cu traseele instalațiilor se vor identifica înaintea amplasării definitive. Măsurile de protecție sau relocare se stabilesc în funcție de constatările concrete.</w:t>
      </w:r>
    </w:p>
    <w:p w14:paraId="2501AAF0" w14:textId="77777777" w:rsidR="006353E8" w:rsidRDefault="00AD0BF6">
      <w:pPr>
        <w:spacing w:after="100" w:line="269" w:lineRule="auto"/>
        <w:jc w:val="both"/>
      </w:pPr>
      <w:r>
        <w:rPr>
          <w:rFonts w:ascii="Times New Roman" w:hAnsi="Times New Roman"/>
          <w:sz w:val="24"/>
        </w:rPr>
        <w:t>Pe acoperișuri și în zonele de parcare se vor verifica instalațiile electrice, comunicațiile, drenajele, instalațiile de securitate și orice alte trasee traversate de noul proiect. O deviere se va propune doar pe baza planurilor și a verificărilor la fața locului, cu acordul deținătorului rețelei afectate.</w:t>
      </w:r>
    </w:p>
    <w:p w14:paraId="4C0770B5" w14:textId="77777777" w:rsidR="006353E8" w:rsidRDefault="00AD0BF6">
      <w:pPr>
        <w:keepNext/>
        <w:spacing w:before="140" w:after="80" w:line="269" w:lineRule="auto"/>
        <w:jc w:val="both"/>
      </w:pPr>
      <w:r>
        <w:rPr>
          <w:rFonts w:ascii="Times New Roman" w:hAnsi="Times New Roman"/>
          <w:b/>
          <w:sz w:val="24"/>
        </w:rPr>
        <w:t>g) posibile obligații de servitute;</w:t>
      </w:r>
    </w:p>
    <w:p w14:paraId="547BC072" w14:textId="77777777" w:rsidR="006353E8" w:rsidRDefault="00AD0BF6">
      <w:pPr>
        <w:spacing w:after="80" w:line="269" w:lineRule="auto"/>
        <w:jc w:val="both"/>
      </w:pPr>
      <w:r>
        <w:rPr>
          <w:rFonts w:ascii="Times New Roman" w:hAnsi="Times New Roman"/>
          <w:sz w:val="24"/>
        </w:rPr>
        <w:t>Servituțile vor fi verificate în actele fiecărui amplasament; în lipsa documentelor locale nu se poate declara anticipat că acestea nu există.</w:t>
      </w:r>
    </w:p>
    <w:p w14:paraId="2A92B673" w14:textId="77777777" w:rsidR="006353E8" w:rsidRDefault="00AD0BF6">
      <w:pPr>
        <w:spacing w:after="100" w:line="269" w:lineRule="auto"/>
        <w:jc w:val="both"/>
      </w:pPr>
      <w:r>
        <w:rPr>
          <w:rFonts w:ascii="Times New Roman" w:hAnsi="Times New Roman"/>
          <w:sz w:val="24"/>
        </w:rPr>
        <w:t>Pentru structurile la sol, accesul pentru cabluri ori mentenanță și eventuala traversare a altor parcele se verifică înaintea stabilirii amplasamentului. Restricțiile înscrise în cartea funciară și condițiile operatorilor de utilități au prioritate față de o soluție orientativă din etapa de fundamentare.</w:t>
      </w:r>
    </w:p>
    <w:p w14:paraId="596E15DE" w14:textId="77777777" w:rsidR="006353E8" w:rsidRDefault="00AD0BF6">
      <w:pPr>
        <w:keepNext/>
        <w:spacing w:before="140" w:after="80" w:line="269" w:lineRule="auto"/>
        <w:jc w:val="both"/>
      </w:pPr>
      <w:r>
        <w:rPr>
          <w:rFonts w:ascii="Times New Roman" w:hAnsi="Times New Roman"/>
          <w:b/>
          <w:sz w:val="24"/>
        </w:rPr>
        <w:t>h) condiționări constructive determinate de starea tehnică și de sistemul constructiv al unor construcții existente în amplasament, asupra cărora se vor face lucrări de intervenții, după caz;</w:t>
      </w:r>
    </w:p>
    <w:p w14:paraId="6F49D969" w14:textId="77777777" w:rsidR="006353E8" w:rsidRDefault="00AD0BF6">
      <w:pPr>
        <w:spacing w:after="80" w:line="269" w:lineRule="auto"/>
        <w:jc w:val="both"/>
      </w:pPr>
      <w:r>
        <w:rPr>
          <w:rFonts w:ascii="Times New Roman" w:hAnsi="Times New Roman"/>
          <w:sz w:val="24"/>
        </w:rPr>
        <w:t>Pentru montarea pe acoperiș se vor verifica starea tehnică, capacitatea portantă, învelitoarea și siguranța la incendiu; pentru carport se vor stabili condițiile de fundare și compatibilitatea cu circulațiile.</w:t>
      </w:r>
    </w:p>
    <w:p w14:paraId="7F268355" w14:textId="77777777" w:rsidR="006353E8" w:rsidRDefault="00AD0BF6">
      <w:pPr>
        <w:spacing w:after="100" w:line="269" w:lineRule="auto"/>
        <w:jc w:val="both"/>
      </w:pPr>
      <w:r>
        <w:rPr>
          <w:rFonts w:ascii="Times New Roman" w:hAnsi="Times New Roman"/>
          <w:sz w:val="24"/>
        </w:rPr>
        <w:t>Eventualele lucrări de întărire sau înlocuire a unor părți de acoperiș nu sunt incluse automat în investiția de bază; oportunitatea și costul lor vor fi stabilite numai în urma verificării tehnice. Dacă expertizarea indică imposibilitatea montajului, proiectantul va compara o alternativă pe teren, o structură independentă sau eliminarea acelei suprafețe din scenariu.</w:t>
      </w:r>
    </w:p>
    <w:p w14:paraId="03894D31" w14:textId="77777777" w:rsidR="006353E8" w:rsidRDefault="00AD0BF6">
      <w:pPr>
        <w:keepNext/>
        <w:spacing w:before="140" w:after="80" w:line="269" w:lineRule="auto"/>
        <w:jc w:val="both"/>
      </w:pPr>
      <w:r>
        <w:rPr>
          <w:rFonts w:ascii="Times New Roman" w:hAnsi="Times New Roman"/>
          <w:b/>
          <w:sz w:val="24"/>
        </w:rPr>
        <w:t>i) reglementări urbanistice aplicabile zonei conform documentațiilor de urbanism aprobate - plan urbanistic general/plan urbanistic zonal și regulamentul local de urbanism aferent;</w:t>
      </w:r>
    </w:p>
    <w:p w14:paraId="45630746" w14:textId="77777777" w:rsidR="006353E8" w:rsidRDefault="00AD0BF6">
      <w:pPr>
        <w:spacing w:after="80" w:line="269" w:lineRule="auto"/>
        <w:jc w:val="both"/>
      </w:pPr>
      <w:r>
        <w:rPr>
          <w:rFonts w:ascii="Times New Roman" w:hAnsi="Times New Roman"/>
          <w:sz w:val="24"/>
        </w:rPr>
        <w:t>Se vor verifica documentațiile de urbanism aprobate, certificatele de urbanism și avizele solicitate pentru fiecare amplasament.</w:t>
      </w:r>
    </w:p>
    <w:p w14:paraId="031AE44C" w14:textId="77777777" w:rsidR="006353E8" w:rsidRDefault="00AD0BF6">
      <w:pPr>
        <w:spacing w:after="100" w:line="269" w:lineRule="auto"/>
        <w:jc w:val="both"/>
      </w:pPr>
      <w:r>
        <w:rPr>
          <w:rFonts w:ascii="Times New Roman" w:hAnsi="Times New Roman"/>
          <w:sz w:val="24"/>
        </w:rPr>
        <w:lastRenderedPageBreak/>
        <w:t>Regimul construcțiilor se determină pe fiecare parcelă, inclusiv pentru structurile tip carport, echipamentele de stocare și traseele auxiliare. Certificatul de urbanism și avizele emise vor preciza eventualele limite de ocupare, retragerile, înălțimea, accesul și regimul de autorizare; Nota nu le anticipează.</w:t>
      </w:r>
    </w:p>
    <w:p w14:paraId="39B4DF3F" w14:textId="77777777" w:rsidR="006353E8" w:rsidRDefault="00AD0BF6">
      <w:pPr>
        <w:keepNext/>
        <w:spacing w:before="140" w:after="80" w:line="269" w:lineRule="auto"/>
        <w:jc w:val="both"/>
      </w:pPr>
      <w:r>
        <w:rPr>
          <w:rFonts w:ascii="Times New Roman" w:hAnsi="Times New Roman"/>
          <w:b/>
          <w:sz w:val="24"/>
        </w:rPr>
        <w:t>j) existența de monumente istorice/de arhitectură sau situri arheologice pe amplasament sau în zona imediat învecinată; existența condiționărilor specifice în cazul existenței unor zone protejate.</w:t>
      </w:r>
    </w:p>
    <w:p w14:paraId="6AE55119" w14:textId="77777777" w:rsidR="006353E8" w:rsidRDefault="00AD0BF6">
      <w:pPr>
        <w:spacing w:after="80" w:line="269" w:lineRule="auto"/>
        <w:jc w:val="both"/>
      </w:pPr>
      <w:r>
        <w:rPr>
          <w:rFonts w:ascii="Times New Roman" w:hAnsi="Times New Roman"/>
          <w:sz w:val="24"/>
        </w:rPr>
        <w:t>Eventualele monumente, zone protejate sau situri arheologice se identifică prin documentare specifică și consultarea autorităților competente; condițiile aferente vor fi integrate în soluția tehnică.</w:t>
      </w:r>
    </w:p>
    <w:p w14:paraId="7A651B6C" w14:textId="77777777" w:rsidR="006353E8" w:rsidRDefault="00AD0BF6">
      <w:pPr>
        <w:spacing w:after="100" w:line="269" w:lineRule="auto"/>
        <w:jc w:val="both"/>
      </w:pPr>
      <w:r>
        <w:rPr>
          <w:rFonts w:ascii="Times New Roman" w:hAnsi="Times New Roman"/>
          <w:sz w:val="24"/>
        </w:rPr>
        <w:t>Pentru Muzeul Soveja și pentru celelalte amplasamente se vor verifica individual listele și planurile de protecție, inclusiv dacă o clădire vecină atrage restricții. Dacă sunt necesare avize de specialitate, acestea se includ în calendarul proiectării; soluția de montaj va respecta condițiile impuse de autoritatea competentă.</w:t>
      </w:r>
    </w:p>
    <w:p w14:paraId="13D9FB71" w14:textId="77777777" w:rsidR="006353E8" w:rsidRDefault="00AD0BF6">
      <w:pPr>
        <w:keepNext/>
        <w:spacing w:before="140" w:after="80" w:line="269" w:lineRule="auto"/>
        <w:jc w:val="both"/>
      </w:pPr>
      <w:r>
        <w:rPr>
          <w:rFonts w:ascii="Times New Roman" w:hAnsi="Times New Roman"/>
          <w:b/>
          <w:sz w:val="24"/>
        </w:rPr>
        <w:t>6. Descrierea succintă a obiectivului de investiții propus, din punct de vedere tehnic și funcțional:</w:t>
      </w:r>
    </w:p>
    <w:p w14:paraId="2C8FE59C" w14:textId="77777777" w:rsidR="006353E8" w:rsidRDefault="00AD0BF6">
      <w:pPr>
        <w:keepNext/>
        <w:spacing w:before="140" w:after="80" w:line="269" w:lineRule="auto"/>
        <w:jc w:val="both"/>
      </w:pPr>
      <w:r>
        <w:rPr>
          <w:rFonts w:ascii="Times New Roman" w:hAnsi="Times New Roman"/>
          <w:b/>
          <w:sz w:val="24"/>
        </w:rPr>
        <w:t>a) destinație și funcțiuni;</w:t>
      </w:r>
    </w:p>
    <w:p w14:paraId="2768570F" w14:textId="77777777" w:rsidR="006353E8" w:rsidRDefault="00AD0BF6">
      <w:pPr>
        <w:spacing w:after="80" w:line="269" w:lineRule="auto"/>
        <w:jc w:val="both"/>
      </w:pPr>
      <w:r>
        <w:rPr>
          <w:rFonts w:ascii="Times New Roman" w:hAnsi="Times New Roman"/>
          <w:sz w:val="24"/>
        </w:rPr>
        <w:t>Se propun 11 instalații fotovoltaice de producere pentru autoconsum, cu 11 sisteme de stocare integrate, corelate cu consumurile a 11 puncte distincte. Energia fotovoltaică se utilizează în primul rând pentru consumul instantaneu; surplusul care poate fi valorificat local încarcă bateria proprie, iar energia stocată este utilizată ulterior de același loc de consum. Alimentarea din rețea completează necesarul atunci când producția și stocarea nu sunt suficiente.</w:t>
      </w:r>
    </w:p>
    <w:p w14:paraId="68E09591" w14:textId="77777777" w:rsidR="006353E8" w:rsidRDefault="00AD0BF6">
      <w:pPr>
        <w:spacing w:after="100" w:line="269" w:lineRule="auto"/>
        <w:jc w:val="both"/>
      </w:pPr>
      <w:r>
        <w:rPr>
          <w:rFonts w:ascii="Times New Roman" w:hAnsi="Times New Roman"/>
          <w:sz w:val="24"/>
        </w:rPr>
        <w:t>Configurația funcțională avută în vedere cuprinde captarea radiației solare, conversia energiei în curent alternativ, utilizarea la sarcinile proprii și gestionarea încărcării și descărcării bateriei. Tablourile, protecțiile și dispozitivele de măsură trebuie să permită verificarea funcționării separate pe amplasament. Nu se urmărește interconectarea fizică a celor 11 puncte de consum între ele.</w:t>
      </w:r>
    </w:p>
    <w:p w14:paraId="0AD6C195" w14:textId="77777777" w:rsidR="006353E8" w:rsidRDefault="00AD0BF6">
      <w:pPr>
        <w:keepNext/>
        <w:spacing w:before="140" w:after="80" w:line="269" w:lineRule="auto"/>
        <w:jc w:val="both"/>
      </w:pPr>
      <w:r>
        <w:rPr>
          <w:rFonts w:ascii="Times New Roman" w:hAnsi="Times New Roman"/>
          <w:b/>
          <w:sz w:val="24"/>
        </w:rPr>
        <w:t>b) caracteristici, parametri și date tehnice specifice, preconizate;</w:t>
      </w:r>
    </w:p>
    <w:p w14:paraId="6BCD25CD" w14:textId="77777777" w:rsidR="006353E8" w:rsidRDefault="00AD0BF6">
      <w:pPr>
        <w:spacing w:after="80" w:line="269" w:lineRule="auto"/>
        <w:jc w:val="both"/>
      </w:pPr>
      <w:r>
        <w:rPr>
          <w:rFonts w:ascii="Times New Roman" w:hAnsi="Times New Roman"/>
          <w:sz w:val="24"/>
        </w:rPr>
        <w:t>La nivel de intenție investițională se urmărește o putere fotovoltaică totală de ordinul a 0,3-0,4 MW. Dimensionarea fiecărei instalații și a sistemului de stocare se face separat, în raport cu consumul propriu, producția posibilă, spațiul disponibil și regulile de eligibilitate. Capacitatea stocării trebuie să acopere echivalentul a aproximativ 2-4 ore raportat la puterea eligibilă a instalației, potrivit cerințelor apelului, sub rezerva verificării individuale.</w:t>
      </w:r>
    </w:p>
    <w:p w14:paraId="38301DE9" w14:textId="77777777" w:rsidR="006353E8" w:rsidRDefault="00AD0BF6">
      <w:pPr>
        <w:spacing w:after="100" w:line="269" w:lineRule="auto"/>
        <w:jc w:val="both"/>
      </w:pPr>
      <w:r>
        <w:rPr>
          <w:rFonts w:ascii="Times New Roman" w:hAnsi="Times New Roman"/>
          <w:sz w:val="24"/>
        </w:rPr>
        <w:t>Capacitatea de producere, capacitatea nominală și utilizabilă a bateriei și puterea de încărcare sau descărcare nu se stabilesc prin simpla raportare a consumului anual la o medie. Proiectantul va confrunta consumul istoric cu profilul orar, variațiile sezoniere, randamentul sistemului și umbrirea, apoi va analiza separat cel puțin două scenarii. Valorile finale rezultate vor fi supuse aprobării numai odată cu documentația tehnico-economică.</w:t>
      </w:r>
    </w:p>
    <w:p w14:paraId="28F857FA" w14:textId="77777777" w:rsidR="006353E8" w:rsidRDefault="00AD0BF6">
      <w:pPr>
        <w:spacing w:after="80" w:line="269" w:lineRule="auto"/>
        <w:jc w:val="both"/>
      </w:pPr>
      <w:r>
        <w:rPr>
          <w:rFonts w:ascii="Times New Roman" w:hAnsi="Times New Roman"/>
          <w:sz w:val="24"/>
        </w:rPr>
        <w:t>Se iau în considerare soluții de montaj pe acoperișuri, pe structuri tip carport la bazin și la baza de agrement, precum și soluții distribuite pe șarpante sau clădiri ale aceluiași punct de consum. Componentele preconizate includ panouri fotovoltaice, structuri de susținere, invertoare, baterii cu management al energiei, tablouri, protecții, contorizare și monitorizare. Selectarea tehnologiei și a scenariului se va justifica în studiul de fezabilitate.</w:t>
      </w:r>
    </w:p>
    <w:p w14:paraId="5A53CD9D" w14:textId="77777777" w:rsidR="006353E8" w:rsidRDefault="00AD0BF6">
      <w:pPr>
        <w:spacing w:after="100" w:line="269" w:lineRule="auto"/>
        <w:jc w:val="both"/>
      </w:pPr>
      <w:r>
        <w:rPr>
          <w:rFonts w:ascii="Times New Roman" w:hAnsi="Times New Roman"/>
          <w:sz w:val="24"/>
        </w:rPr>
        <w:lastRenderedPageBreak/>
        <w:t>Pentru instalațiile amplasate în incinte publice se vor analiza accesul pompierilor, distanțele de siguranță pentru baterii, protecția la atingere accidentală, împământarea și protecția la supratensiune. Suporturile și structurile vor fi corelate cu starea clădirilor sau a terenului; modul de fixare nu se alege înainte de verificarea suportului.</w:t>
      </w:r>
    </w:p>
    <w:p w14:paraId="5C03D7ED" w14:textId="77777777" w:rsidR="006353E8" w:rsidRDefault="00AD0BF6">
      <w:pPr>
        <w:keepNext/>
        <w:spacing w:before="140" w:after="80" w:line="269" w:lineRule="auto"/>
        <w:jc w:val="both"/>
        <w:rPr>
          <w:rFonts w:ascii="Times New Roman" w:hAnsi="Times New Roman"/>
          <w:b/>
          <w:sz w:val="24"/>
        </w:rPr>
      </w:pPr>
      <w:r>
        <w:rPr>
          <w:rFonts w:ascii="Times New Roman" w:hAnsi="Times New Roman"/>
          <w:b/>
          <w:sz w:val="24"/>
        </w:rPr>
        <w:t>c) durata minimă de funcționare apreciată corespunzător destinației/funcțiunilor propuse;</w:t>
      </w:r>
    </w:p>
    <w:p w14:paraId="1C9FB211" w14:textId="77777777" w:rsidR="004C49B6" w:rsidRDefault="004C49B6">
      <w:pPr>
        <w:keepNext/>
        <w:spacing w:before="140" w:after="80" w:line="269" w:lineRule="auto"/>
        <w:jc w:val="both"/>
      </w:pPr>
    </w:p>
    <w:p w14:paraId="1A7F7B69" w14:textId="77777777" w:rsidR="006353E8" w:rsidRDefault="00AD0BF6">
      <w:pPr>
        <w:spacing w:after="80" w:line="269" w:lineRule="auto"/>
        <w:jc w:val="both"/>
      </w:pPr>
      <w:r>
        <w:rPr>
          <w:rFonts w:ascii="Times New Roman" w:hAnsi="Times New Roman"/>
          <w:sz w:val="24"/>
        </w:rPr>
        <w:t>Durata de exploatare preconizată a instalațiilor este de cel puțin 20 de ani, cu mentenanță regulată și înlocuirea componentelor în funcție de viața utilă.</w:t>
      </w:r>
    </w:p>
    <w:p w14:paraId="27AE3C98" w14:textId="77777777" w:rsidR="006353E8" w:rsidRDefault="00AD0BF6">
      <w:pPr>
        <w:spacing w:after="100" w:line="269" w:lineRule="auto"/>
        <w:jc w:val="both"/>
      </w:pPr>
      <w:r>
        <w:rPr>
          <w:rFonts w:ascii="Times New Roman" w:hAnsi="Times New Roman"/>
          <w:sz w:val="24"/>
        </w:rPr>
        <w:t>Durata de utilizare a întregului ansamblu nu este identică pentru toate componentele. Prin studiul de fezabilitate se vor estima întreținerea modulelor, durata bateriilor, garanțiile echipamentelor, necesarul de înlocuire și costul operațional aferent, astfel încât investiția să fie sustenabilă după perioada de finanțare.</w:t>
      </w:r>
    </w:p>
    <w:p w14:paraId="625757B4" w14:textId="77777777" w:rsidR="006353E8" w:rsidRDefault="00AD0BF6">
      <w:pPr>
        <w:keepNext/>
        <w:spacing w:before="140" w:after="80" w:line="269" w:lineRule="auto"/>
        <w:jc w:val="both"/>
        <w:rPr>
          <w:rFonts w:ascii="Times New Roman" w:hAnsi="Times New Roman"/>
          <w:b/>
          <w:sz w:val="24"/>
        </w:rPr>
      </w:pPr>
      <w:r>
        <w:rPr>
          <w:rFonts w:ascii="Times New Roman" w:hAnsi="Times New Roman"/>
          <w:b/>
          <w:sz w:val="24"/>
        </w:rPr>
        <w:t>d) nevoi/solicitări funcționale specifice.</w:t>
      </w:r>
    </w:p>
    <w:p w14:paraId="388EEF9D" w14:textId="77777777" w:rsidR="004C49B6" w:rsidRDefault="004C49B6">
      <w:pPr>
        <w:keepNext/>
        <w:spacing w:before="140" w:after="80" w:line="269" w:lineRule="auto"/>
        <w:jc w:val="both"/>
      </w:pPr>
    </w:p>
    <w:p w14:paraId="4BCC6EFB" w14:textId="77777777" w:rsidR="006353E8" w:rsidRDefault="00AD0BF6">
      <w:pPr>
        <w:spacing w:after="80" w:line="269" w:lineRule="auto"/>
        <w:jc w:val="both"/>
      </w:pPr>
      <w:r>
        <w:rPr>
          <w:rFonts w:ascii="Times New Roman" w:hAnsi="Times New Roman"/>
          <w:sz w:val="24"/>
        </w:rPr>
        <w:t>Se solicită acces sigur la echipamente, protecție electrică și la incendiu, controlul energiei încărcate în baterii, monitorizare pe amplasament și compatibilitate cu instalațiile existente fără afectarea funcțiunilor publice.</w:t>
      </w:r>
    </w:p>
    <w:p w14:paraId="7CCA5DCF" w14:textId="77777777" w:rsidR="006353E8" w:rsidRDefault="00AD0BF6">
      <w:pPr>
        <w:spacing w:after="100" w:line="269" w:lineRule="auto"/>
        <w:jc w:val="both"/>
      </w:pPr>
      <w:r>
        <w:rPr>
          <w:rFonts w:ascii="Times New Roman" w:hAnsi="Times New Roman"/>
          <w:sz w:val="24"/>
        </w:rPr>
        <w:t>Sistemele vor funcționa cu prioritate pentru consumul propriu, vor permite citirea și exportul datelor de exploatare necesare raportării și vor asigura oprirea și izolarea în siguranță. Beneficiarul urmărește exploatarea de către personal instruit sau printr-un contract de mentenanță, cu responsabilități clare pentru obiectivele aflate în folosința unor instituții diferite.</w:t>
      </w:r>
    </w:p>
    <w:p w14:paraId="7A7DCB1A" w14:textId="77777777" w:rsidR="006353E8" w:rsidRDefault="00AD0BF6">
      <w:pPr>
        <w:keepNext/>
        <w:spacing w:before="140" w:after="80" w:line="269" w:lineRule="auto"/>
        <w:jc w:val="both"/>
        <w:rPr>
          <w:rFonts w:ascii="Times New Roman" w:hAnsi="Times New Roman"/>
          <w:b/>
          <w:sz w:val="24"/>
        </w:rPr>
      </w:pPr>
      <w:r>
        <w:rPr>
          <w:rFonts w:ascii="Times New Roman" w:hAnsi="Times New Roman"/>
          <w:b/>
          <w:sz w:val="24"/>
        </w:rPr>
        <w:t>7. Justificarea necesității elaborării, după caz, a:</w:t>
      </w:r>
    </w:p>
    <w:p w14:paraId="4B7B4B49" w14:textId="77777777" w:rsidR="004C49B6" w:rsidRDefault="004C49B6">
      <w:pPr>
        <w:keepNext/>
        <w:spacing w:before="140" w:after="80" w:line="269" w:lineRule="auto"/>
        <w:jc w:val="both"/>
      </w:pPr>
    </w:p>
    <w:p w14:paraId="46E59CDB" w14:textId="77777777" w:rsidR="006353E8" w:rsidRDefault="00AD0BF6">
      <w:pPr>
        <w:spacing w:after="100" w:line="269" w:lineRule="auto"/>
        <w:jc w:val="both"/>
      </w:pPr>
      <w:r>
        <w:rPr>
          <w:rFonts w:ascii="Times New Roman" w:hAnsi="Times New Roman"/>
          <w:sz w:val="24"/>
        </w:rPr>
        <w:t>– studiului de prefezabilitate, în cazul obiectivelor/proiectelor majore de investiții;</w:t>
      </w:r>
    </w:p>
    <w:p w14:paraId="71BF5380" w14:textId="77777777" w:rsidR="006353E8" w:rsidRDefault="00AD0BF6">
      <w:pPr>
        <w:spacing w:after="100" w:line="269" w:lineRule="auto"/>
        <w:jc w:val="both"/>
      </w:pPr>
      <w:r>
        <w:rPr>
          <w:rFonts w:ascii="Times New Roman" w:hAnsi="Times New Roman"/>
          <w:sz w:val="24"/>
        </w:rPr>
        <w:t>– expertizei tehnice și, după caz, a auditului energetic ori a altor studii de specialitate, audituri sau analize relevante, inclusiv analiza diagnostic, în cazul intervențiilor la construcții existente;</w:t>
      </w:r>
    </w:p>
    <w:p w14:paraId="53F33C73" w14:textId="77777777" w:rsidR="006353E8" w:rsidRDefault="00AD0BF6">
      <w:pPr>
        <w:spacing w:after="100" w:line="269" w:lineRule="auto"/>
        <w:jc w:val="both"/>
        <w:rPr>
          <w:rFonts w:ascii="Times New Roman" w:hAnsi="Times New Roman"/>
          <w:sz w:val="24"/>
        </w:rPr>
      </w:pPr>
      <w:r>
        <w:rPr>
          <w:rFonts w:ascii="Times New Roman" w:hAnsi="Times New Roman"/>
          <w:sz w:val="24"/>
        </w:rPr>
        <w:t>– unui studiu de fundamentare a valorii resursei culturale referitoare la restricțiile și permisivitățile asociate cu obiectivul de investiții, în cazul intervențiilor pe monumente istorice sau în zone protejate.</w:t>
      </w:r>
    </w:p>
    <w:p w14:paraId="1E9F22CC" w14:textId="77777777" w:rsidR="004C49B6" w:rsidRDefault="004C49B6">
      <w:pPr>
        <w:spacing w:after="100" w:line="269" w:lineRule="auto"/>
        <w:jc w:val="both"/>
      </w:pPr>
    </w:p>
    <w:p w14:paraId="3562F7CC" w14:textId="77777777" w:rsidR="006353E8" w:rsidRDefault="00AD0BF6">
      <w:pPr>
        <w:spacing w:after="80" w:line="269" w:lineRule="auto"/>
        <w:jc w:val="both"/>
      </w:pPr>
      <w:r>
        <w:rPr>
          <w:rFonts w:ascii="Times New Roman" w:hAnsi="Times New Roman"/>
          <w:sz w:val="24"/>
        </w:rPr>
        <w:t>Se solicită elaborarea studiului de fezabilitate pentru analiza a cel puțin două scenarii tehnico-economice, dimensionarea fiecărui punct de consum și fundamentarea indicatorilor și a devizului general. Studiul de prefezabilitate nu este preconizat, nefiind vorba despre un obiectiv major în sensul HG nr. 907/2016. Verificarea structurii acoperișurilor, eventuale expertize, studii de teren, analize de racordare, avize de patrimoniu sau alte documentații vor fi cerute numai acolo unde caracteristicile amplasamentului și certificatul de urbanism le fac necesare.</w:t>
      </w:r>
    </w:p>
    <w:p w14:paraId="30C915CB" w14:textId="77777777" w:rsidR="006353E8" w:rsidRDefault="00AD0BF6">
      <w:pPr>
        <w:spacing w:after="100" w:line="269" w:lineRule="auto"/>
        <w:jc w:val="both"/>
      </w:pPr>
      <w:r>
        <w:rPr>
          <w:rFonts w:ascii="Times New Roman" w:hAnsi="Times New Roman"/>
          <w:sz w:val="24"/>
        </w:rPr>
        <w:t xml:space="preserve">Studiul de prefezabilitate se justifică pentru investițiile majore în condițiile art. 6 din HG 907/2016; valoarea preliminară și dimensiunea prezentei investiții nu indică necesitatea lui. Expertiza tehnică a unor acoperișuri, analizele de racordare, releveele și eventualele studii de teren se stabilesc pe măsura identificării amplasamentului efectiv și a soluțiilor tehnice. Un </w:t>
      </w:r>
      <w:r>
        <w:rPr>
          <w:rFonts w:ascii="Times New Roman" w:hAnsi="Times New Roman"/>
          <w:sz w:val="24"/>
        </w:rPr>
        <w:lastRenderedPageBreak/>
        <w:t>studiu de fundamentare a valorii resursei culturale este necesar doar dacă lucrările intersectează un monument istoric ori o zonă protejată și autoritatea competentă îl solicită.</w:t>
      </w:r>
    </w:p>
    <w:p w14:paraId="2D55C791" w14:textId="77777777" w:rsidR="006353E8" w:rsidRDefault="00AD0BF6">
      <w:pPr>
        <w:spacing w:line="269" w:lineRule="auto"/>
        <w:jc w:val="both"/>
      </w:pPr>
      <w:r>
        <w:rPr>
          <w:rFonts w:ascii="Times New Roman" w:hAnsi="Times New Roman"/>
          <w:sz w:val="24"/>
        </w:rPr>
        <w:t>Data: .....................................</w:t>
      </w:r>
    </w:p>
    <w:p w14:paraId="4ED5CFB4" w14:textId="7BA4C499" w:rsidR="006353E8" w:rsidRDefault="00AD0BF6">
      <w:pPr>
        <w:spacing w:after="80" w:line="269" w:lineRule="auto"/>
        <w:rPr>
          <w:rFonts w:ascii="Times New Roman" w:hAnsi="Times New Roman"/>
          <w:sz w:val="24"/>
        </w:rPr>
      </w:pPr>
      <w:r>
        <w:rPr>
          <w:rFonts w:ascii="Times New Roman" w:hAnsi="Times New Roman"/>
          <w:sz w:val="24"/>
        </w:rPr>
        <w:t>Întocmit,</w:t>
      </w:r>
      <w:r>
        <w:rPr>
          <w:rFonts w:ascii="Times New Roman" w:hAnsi="Times New Roman"/>
          <w:sz w:val="24"/>
        </w:rPr>
        <w:br/>
      </w:r>
      <w:r w:rsidR="004C49B6" w:rsidRPr="004C49B6">
        <w:rPr>
          <w:noProof/>
        </w:rPr>
        <w:drawing>
          <wp:inline distT="0" distB="0" distL="0" distR="0" wp14:anchorId="4470A708" wp14:editId="357F0287">
            <wp:extent cx="2381582" cy="1648055"/>
            <wp:effectExtent l="0" t="0" r="0" b="9525"/>
            <wp:docPr id="346339501" name="Imagine 1" descr="CALARASI&#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339501" name="Imagine 1" descr="CALARASI&#10;&#10;Conținutul generat de inteligența artificială poate fi incorect."/>
                    <pic:cNvPicPr/>
                  </pic:nvPicPr>
                  <pic:blipFill>
                    <a:blip r:embed="rId8"/>
                    <a:stretch>
                      <a:fillRect/>
                    </a:stretch>
                  </pic:blipFill>
                  <pic:spPr>
                    <a:xfrm>
                      <a:off x="0" y="0"/>
                      <a:ext cx="2381582" cy="1648055"/>
                    </a:xfrm>
                    <a:prstGeom prst="rect">
                      <a:avLst/>
                    </a:prstGeom>
                  </pic:spPr>
                </pic:pic>
              </a:graphicData>
            </a:graphic>
          </wp:inline>
        </w:drawing>
      </w:r>
    </w:p>
    <w:p w14:paraId="31224231" w14:textId="77777777" w:rsidR="004C49B6" w:rsidRDefault="004C49B6">
      <w:pPr>
        <w:spacing w:after="80" w:line="269" w:lineRule="auto"/>
        <w:rPr>
          <w:rFonts w:ascii="Times New Roman" w:hAnsi="Times New Roman"/>
          <w:sz w:val="24"/>
        </w:rPr>
      </w:pPr>
    </w:p>
    <w:p w14:paraId="0D4CE529" w14:textId="77777777" w:rsidR="004C49B6" w:rsidRDefault="004C49B6">
      <w:pPr>
        <w:spacing w:after="80" w:line="269" w:lineRule="auto"/>
        <w:rPr>
          <w:rFonts w:ascii="Times New Roman" w:hAnsi="Times New Roman"/>
          <w:sz w:val="24"/>
        </w:rPr>
      </w:pPr>
    </w:p>
    <w:p w14:paraId="4CF60462" w14:textId="77777777" w:rsidR="004C49B6" w:rsidRDefault="004C49B6">
      <w:pPr>
        <w:spacing w:after="80" w:line="269" w:lineRule="auto"/>
        <w:rPr>
          <w:rFonts w:ascii="Times New Roman" w:hAnsi="Times New Roman"/>
          <w:sz w:val="24"/>
        </w:rPr>
      </w:pPr>
    </w:p>
    <w:p w14:paraId="6FF14A2D" w14:textId="77777777" w:rsidR="004C49B6" w:rsidRPr="00931714" w:rsidRDefault="004C49B6" w:rsidP="004C49B6">
      <w:pPr>
        <w:spacing w:after="0"/>
        <w:jc w:val="both"/>
        <w:rPr>
          <w:rFonts w:ascii="Times New Roman" w:hAnsi="Times New Roman" w:cs="Times New Roman"/>
          <w:sz w:val="28"/>
          <w:szCs w:val="28"/>
        </w:rPr>
      </w:pPr>
    </w:p>
    <w:p w14:paraId="16B7A366" w14:textId="6FA60191" w:rsidR="004C49B6" w:rsidRPr="00931714" w:rsidRDefault="004C49B6" w:rsidP="004C49B6">
      <w:pPr>
        <w:autoSpaceDE w:val="0"/>
        <w:autoSpaceDN w:val="0"/>
        <w:adjustRightInd w:val="0"/>
        <w:spacing w:after="0" w:line="240" w:lineRule="auto"/>
        <w:jc w:val="center"/>
        <w:rPr>
          <w:rFonts w:ascii="Times New Roman" w:hAnsi="Times New Roman" w:cs="Times New Roman"/>
          <w:b/>
          <w:bCs/>
          <w:sz w:val="28"/>
          <w:szCs w:val="28"/>
        </w:rPr>
      </w:pPr>
      <w:r w:rsidRPr="00931714">
        <w:rPr>
          <w:rFonts w:ascii="Times New Roman" w:hAnsi="Times New Roman" w:cs="Times New Roman"/>
          <w:b/>
          <w:bCs/>
          <w:sz w:val="28"/>
          <w:szCs w:val="28"/>
        </w:rPr>
        <w:t>Președintele</w:t>
      </w:r>
    </w:p>
    <w:p w14:paraId="1E044E0F" w14:textId="14201436" w:rsidR="004C49B6" w:rsidRPr="00931714" w:rsidRDefault="004C49B6" w:rsidP="004C49B6">
      <w:pPr>
        <w:autoSpaceDE w:val="0"/>
        <w:autoSpaceDN w:val="0"/>
        <w:adjustRightInd w:val="0"/>
        <w:spacing w:after="0" w:line="240" w:lineRule="auto"/>
        <w:jc w:val="center"/>
        <w:rPr>
          <w:rFonts w:ascii="Times New Roman" w:hAnsi="Times New Roman" w:cs="Times New Roman"/>
          <w:b/>
          <w:bCs/>
          <w:sz w:val="28"/>
          <w:szCs w:val="28"/>
        </w:rPr>
      </w:pPr>
      <w:r w:rsidRPr="00931714">
        <w:rPr>
          <w:rFonts w:ascii="Times New Roman" w:hAnsi="Times New Roman" w:cs="Times New Roman"/>
          <w:b/>
          <w:bCs/>
          <w:sz w:val="28"/>
          <w:szCs w:val="28"/>
        </w:rPr>
        <w:t>Consiliului Județean Vrancea</w:t>
      </w:r>
    </w:p>
    <w:p w14:paraId="26334C4C" w14:textId="77777777" w:rsidR="004C49B6" w:rsidRPr="00931714" w:rsidRDefault="004C49B6" w:rsidP="004C49B6">
      <w:pPr>
        <w:autoSpaceDE w:val="0"/>
        <w:autoSpaceDN w:val="0"/>
        <w:adjustRightInd w:val="0"/>
        <w:spacing w:after="0" w:line="240" w:lineRule="auto"/>
        <w:jc w:val="center"/>
        <w:rPr>
          <w:rFonts w:ascii="Times New Roman" w:hAnsi="Times New Roman" w:cs="Times New Roman"/>
          <w:b/>
          <w:bCs/>
          <w:sz w:val="28"/>
          <w:szCs w:val="28"/>
        </w:rPr>
      </w:pPr>
      <w:r w:rsidRPr="00931714">
        <w:rPr>
          <w:rFonts w:ascii="Times New Roman" w:hAnsi="Times New Roman" w:cs="Times New Roman"/>
          <w:b/>
          <w:bCs/>
          <w:sz w:val="28"/>
          <w:szCs w:val="28"/>
        </w:rPr>
        <w:t>Nicușor HALICI</w:t>
      </w:r>
    </w:p>
    <w:p w14:paraId="1902D7F4" w14:textId="77777777" w:rsidR="004C49B6" w:rsidRDefault="004C49B6" w:rsidP="004C49B6">
      <w:pPr>
        <w:autoSpaceDE w:val="0"/>
        <w:autoSpaceDN w:val="0"/>
        <w:adjustRightInd w:val="0"/>
        <w:spacing w:after="0" w:line="240" w:lineRule="auto"/>
        <w:jc w:val="center"/>
        <w:rPr>
          <w:rFonts w:ascii="Times New Roman" w:hAnsi="Times New Roman" w:cs="Times New Roman"/>
          <w:b/>
          <w:bCs/>
          <w:sz w:val="28"/>
          <w:szCs w:val="28"/>
        </w:rPr>
      </w:pPr>
    </w:p>
    <w:p w14:paraId="6FA8C2DD" w14:textId="77777777" w:rsidR="007712D1" w:rsidRPr="00931714" w:rsidRDefault="007712D1" w:rsidP="004C49B6">
      <w:pPr>
        <w:autoSpaceDE w:val="0"/>
        <w:autoSpaceDN w:val="0"/>
        <w:adjustRightInd w:val="0"/>
        <w:spacing w:after="0" w:line="240" w:lineRule="auto"/>
        <w:jc w:val="center"/>
        <w:rPr>
          <w:rFonts w:ascii="Times New Roman" w:hAnsi="Times New Roman" w:cs="Times New Roman"/>
          <w:b/>
          <w:bCs/>
          <w:sz w:val="28"/>
          <w:szCs w:val="28"/>
        </w:rPr>
      </w:pPr>
    </w:p>
    <w:p w14:paraId="1D23650A" w14:textId="77777777" w:rsidR="004C49B6" w:rsidRPr="00931714" w:rsidRDefault="004C49B6" w:rsidP="004C49B6">
      <w:pPr>
        <w:autoSpaceDE w:val="0"/>
        <w:autoSpaceDN w:val="0"/>
        <w:adjustRightInd w:val="0"/>
        <w:spacing w:after="0" w:line="240" w:lineRule="auto"/>
        <w:jc w:val="center"/>
        <w:rPr>
          <w:rFonts w:ascii="Times New Roman" w:hAnsi="Times New Roman" w:cs="Times New Roman"/>
          <w:b/>
          <w:bCs/>
          <w:sz w:val="28"/>
          <w:szCs w:val="28"/>
        </w:rPr>
      </w:pPr>
    </w:p>
    <w:p w14:paraId="71E7E95A" w14:textId="77777777" w:rsidR="004C49B6" w:rsidRPr="00931714" w:rsidRDefault="004C49B6" w:rsidP="004C49B6">
      <w:pPr>
        <w:autoSpaceDE w:val="0"/>
        <w:autoSpaceDN w:val="0"/>
        <w:adjustRightInd w:val="0"/>
        <w:spacing w:after="0" w:line="240" w:lineRule="auto"/>
        <w:jc w:val="center"/>
        <w:rPr>
          <w:rFonts w:ascii="Times New Roman" w:hAnsi="Times New Roman" w:cs="Times New Roman"/>
          <w:b/>
          <w:bCs/>
          <w:sz w:val="28"/>
          <w:szCs w:val="28"/>
        </w:rPr>
      </w:pPr>
    </w:p>
    <w:p w14:paraId="5B75FD64" w14:textId="63A6AC9A" w:rsidR="004C49B6" w:rsidRDefault="004C49B6" w:rsidP="004C49B6">
      <w:p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                                                                                              </w:t>
      </w:r>
      <w:r w:rsidR="00541F93">
        <w:rPr>
          <w:rFonts w:ascii="Times New Roman" w:hAnsi="Times New Roman" w:cs="Times New Roman"/>
          <w:b/>
          <w:bCs/>
          <w:sz w:val="28"/>
          <w:szCs w:val="28"/>
        </w:rPr>
        <w:t>Contrase</w:t>
      </w:r>
      <w:r w:rsidR="00CB307C">
        <w:rPr>
          <w:rFonts w:ascii="Times New Roman" w:hAnsi="Times New Roman" w:cs="Times New Roman"/>
          <w:b/>
          <w:bCs/>
          <w:sz w:val="28"/>
          <w:szCs w:val="28"/>
        </w:rPr>
        <w:t>mne</w:t>
      </w:r>
      <w:r w:rsidR="007712D1">
        <w:rPr>
          <w:rFonts w:ascii="Times New Roman" w:hAnsi="Times New Roman" w:cs="Times New Roman"/>
          <w:b/>
          <w:bCs/>
          <w:sz w:val="28"/>
          <w:szCs w:val="28"/>
        </w:rPr>
        <w:t>a</w:t>
      </w:r>
      <w:r w:rsidR="00CB307C">
        <w:rPr>
          <w:rFonts w:ascii="Times New Roman" w:hAnsi="Times New Roman" w:cs="Times New Roman"/>
          <w:b/>
          <w:bCs/>
          <w:sz w:val="28"/>
          <w:szCs w:val="28"/>
        </w:rPr>
        <w:t>ză</w:t>
      </w:r>
      <w:r w:rsidRPr="00931714">
        <w:rPr>
          <w:rFonts w:ascii="Times New Roman" w:hAnsi="Times New Roman" w:cs="Times New Roman"/>
          <w:b/>
          <w:bCs/>
          <w:sz w:val="28"/>
          <w:szCs w:val="28"/>
        </w:rPr>
        <w:t>,</w:t>
      </w:r>
    </w:p>
    <w:p w14:paraId="756FECB4" w14:textId="77777777" w:rsidR="004C49B6" w:rsidRDefault="004C49B6" w:rsidP="004C49B6">
      <w:p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                                                                                </w:t>
      </w:r>
      <w:r w:rsidRPr="00931714">
        <w:rPr>
          <w:rFonts w:ascii="Times New Roman" w:hAnsi="Times New Roman" w:cs="Times New Roman"/>
          <w:b/>
          <w:bCs/>
          <w:sz w:val="28"/>
          <w:szCs w:val="28"/>
        </w:rPr>
        <w:t>Secretar general al județului</w:t>
      </w:r>
      <w:r>
        <w:rPr>
          <w:rFonts w:ascii="Times New Roman" w:hAnsi="Times New Roman" w:cs="Times New Roman"/>
          <w:b/>
          <w:bCs/>
          <w:sz w:val="28"/>
          <w:szCs w:val="28"/>
        </w:rPr>
        <w:t xml:space="preserve">                    </w:t>
      </w:r>
    </w:p>
    <w:p w14:paraId="73DC7E56" w14:textId="55A0B05B" w:rsidR="004C49B6" w:rsidRPr="00931714" w:rsidRDefault="004C49B6" w:rsidP="004C49B6">
      <w:p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                                                                                               </w:t>
      </w:r>
      <w:r w:rsidRPr="00931714">
        <w:rPr>
          <w:rFonts w:ascii="Times New Roman" w:hAnsi="Times New Roman" w:cs="Times New Roman"/>
          <w:b/>
          <w:bCs/>
          <w:sz w:val="28"/>
          <w:szCs w:val="28"/>
        </w:rPr>
        <w:t>Raluca Dan</w:t>
      </w:r>
    </w:p>
    <w:p w14:paraId="1626F77E" w14:textId="77777777" w:rsidR="004C49B6" w:rsidRDefault="004C49B6">
      <w:pPr>
        <w:spacing w:after="80" w:line="269" w:lineRule="auto"/>
      </w:pPr>
    </w:p>
    <w:sectPr w:rsidR="004C49B6" w:rsidSect="001327E8">
      <w:footerReference w:type="default" r:id="rId9"/>
      <w:pgSz w:w="11906" w:h="16838"/>
      <w:pgMar w:top="9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C490E" w14:textId="77777777" w:rsidR="00216E33" w:rsidRDefault="00216E33" w:rsidP="00E61DF0">
      <w:pPr>
        <w:spacing w:after="0" w:line="240" w:lineRule="auto"/>
      </w:pPr>
      <w:r>
        <w:separator/>
      </w:r>
    </w:p>
  </w:endnote>
  <w:endnote w:type="continuationSeparator" w:id="0">
    <w:p w14:paraId="555ED107" w14:textId="77777777" w:rsidR="00216E33" w:rsidRDefault="00216E33" w:rsidP="00E61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301">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2350185"/>
      <w:docPartObj>
        <w:docPartGallery w:val="Page Numbers (Bottom of Page)"/>
        <w:docPartUnique/>
      </w:docPartObj>
    </w:sdtPr>
    <w:sdtEndPr/>
    <w:sdtContent>
      <w:sdt>
        <w:sdtPr>
          <w:id w:val="1728636285"/>
          <w:docPartObj>
            <w:docPartGallery w:val="Page Numbers (Top of Page)"/>
            <w:docPartUnique/>
          </w:docPartObj>
        </w:sdtPr>
        <w:sdtEndPr/>
        <w:sdtContent>
          <w:p w14:paraId="0EB34188" w14:textId="77777777" w:rsidR="007650A7" w:rsidRDefault="007650A7">
            <w:pPr>
              <w:pStyle w:val="Subsol"/>
              <w:jc w:val="center"/>
            </w:pPr>
            <w:r>
              <w:t xml:space="preserve">Pagină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din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DE5B316" w14:textId="77777777" w:rsidR="007650A7" w:rsidRDefault="007650A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0F358" w14:textId="77777777" w:rsidR="00216E33" w:rsidRDefault="00216E33" w:rsidP="00E61DF0">
      <w:pPr>
        <w:spacing w:after="0" w:line="240" w:lineRule="auto"/>
      </w:pPr>
      <w:r>
        <w:separator/>
      </w:r>
    </w:p>
  </w:footnote>
  <w:footnote w:type="continuationSeparator" w:id="0">
    <w:p w14:paraId="39EA57F2" w14:textId="77777777" w:rsidR="00216E33" w:rsidRDefault="00216E33" w:rsidP="00E61D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lu1"/>
      <w:suff w:val="nothing"/>
      <w:lvlText w:val=""/>
      <w:lvlJc w:val="left"/>
      <w:pPr>
        <w:tabs>
          <w:tab w:val="num" w:pos="0"/>
        </w:tabs>
        <w:ind w:left="0" w:firstLine="0"/>
      </w:pPr>
    </w:lvl>
    <w:lvl w:ilvl="1">
      <w:start w:val="1"/>
      <w:numFmt w:val="none"/>
      <w:pStyle w:val="Titlu2"/>
      <w:suff w:val="nothing"/>
      <w:lvlText w:val=""/>
      <w:lvlJc w:val="left"/>
      <w:pPr>
        <w:tabs>
          <w:tab w:val="num" w:pos="0"/>
        </w:tabs>
        <w:ind w:left="0" w:firstLine="0"/>
      </w:pPr>
    </w:lvl>
    <w:lvl w:ilvl="2">
      <w:start w:val="1"/>
      <w:numFmt w:val="none"/>
      <w:pStyle w:val="Titlu3"/>
      <w:suff w:val="nothing"/>
      <w:lvlText w:val=""/>
      <w:lvlJc w:val="left"/>
      <w:pPr>
        <w:tabs>
          <w:tab w:val="num" w:pos="0"/>
        </w:tabs>
        <w:ind w:left="0" w:firstLine="0"/>
      </w:pPr>
    </w:lvl>
    <w:lvl w:ilvl="3">
      <w:start w:val="1"/>
      <w:numFmt w:val="none"/>
      <w:pStyle w:val="Titlu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B3067F"/>
    <w:multiLevelType w:val="hybridMultilevel"/>
    <w:tmpl w:val="D4C878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E530FF"/>
    <w:multiLevelType w:val="hybridMultilevel"/>
    <w:tmpl w:val="AEE8A1FE"/>
    <w:lvl w:ilvl="0" w:tplc="57D62A16">
      <w:numFmt w:val="bullet"/>
      <w:lvlText w:val="•"/>
      <w:lvlJc w:val="left"/>
      <w:pPr>
        <w:ind w:left="1440" w:hanging="360"/>
      </w:pPr>
      <w:rPr>
        <w:rFonts w:hint="default"/>
        <w:lang w:val="ro-RO" w:eastAsia="en-US" w:bidi="ar-SA"/>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51E5836"/>
    <w:multiLevelType w:val="multilevel"/>
    <w:tmpl w:val="458C8B96"/>
    <w:lvl w:ilvl="0">
      <w:start w:val="1"/>
      <w:numFmt w:val="bullet"/>
      <w:lvlText w:val=""/>
      <w:lvlJc w:val="left"/>
      <w:pPr>
        <w:tabs>
          <w:tab w:val="num" w:pos="630"/>
        </w:tabs>
        <w:ind w:left="630" w:hanging="360"/>
      </w:pPr>
      <w:rPr>
        <w:rFonts w:ascii="Symbol" w:hAnsi="Symbol" w:hint="default"/>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926E58"/>
    <w:multiLevelType w:val="hybridMultilevel"/>
    <w:tmpl w:val="BB181D6C"/>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6F40C01"/>
    <w:multiLevelType w:val="hybridMultilevel"/>
    <w:tmpl w:val="FB28D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7B22E8"/>
    <w:multiLevelType w:val="hybridMultilevel"/>
    <w:tmpl w:val="FB9406D8"/>
    <w:lvl w:ilvl="0" w:tplc="1B04D3E8">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7316135"/>
    <w:multiLevelType w:val="hybridMultilevel"/>
    <w:tmpl w:val="14CEA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B43419"/>
    <w:multiLevelType w:val="hybridMultilevel"/>
    <w:tmpl w:val="C976272A"/>
    <w:lvl w:ilvl="0" w:tplc="FD649D36">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57AA5F65"/>
    <w:multiLevelType w:val="hybridMultilevel"/>
    <w:tmpl w:val="E7345038"/>
    <w:lvl w:ilvl="0" w:tplc="04090001">
      <w:start w:val="1"/>
      <w:numFmt w:val="bullet"/>
      <w:lvlText w:val=""/>
      <w:lvlJc w:val="left"/>
      <w:pPr>
        <w:ind w:left="720" w:hanging="360"/>
      </w:pPr>
      <w:rPr>
        <w:rFonts w:ascii="Symbol" w:hAnsi="Symbol" w:hint="default"/>
      </w:rPr>
    </w:lvl>
    <w:lvl w:ilvl="1" w:tplc="523C16D4">
      <w:numFmt w:val="bullet"/>
      <w:lvlText w:val="•"/>
      <w:lvlJc w:val="left"/>
      <w:pPr>
        <w:ind w:left="1788" w:hanging="708"/>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0341F8"/>
    <w:multiLevelType w:val="hybridMultilevel"/>
    <w:tmpl w:val="E22A0968"/>
    <w:lvl w:ilvl="0" w:tplc="7D5CBE9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96792C"/>
    <w:multiLevelType w:val="hybridMultilevel"/>
    <w:tmpl w:val="5C6CF8F0"/>
    <w:lvl w:ilvl="0" w:tplc="A538D6F6">
      <w:start w:val="2"/>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662D2A83"/>
    <w:multiLevelType w:val="hybridMultilevel"/>
    <w:tmpl w:val="5AB8E25C"/>
    <w:lvl w:ilvl="0" w:tplc="E3A84A56">
      <w:start w:val="7"/>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9F91F8C"/>
    <w:multiLevelType w:val="hybridMultilevel"/>
    <w:tmpl w:val="FB22151A"/>
    <w:lvl w:ilvl="0" w:tplc="04090005">
      <w:start w:val="1"/>
      <w:numFmt w:val="bullet"/>
      <w:lvlText w:val=""/>
      <w:lvlJc w:val="left"/>
      <w:pPr>
        <w:tabs>
          <w:tab w:val="num" w:pos="1429"/>
        </w:tabs>
        <w:ind w:left="1429"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842815279">
    <w:abstractNumId w:val="0"/>
  </w:num>
  <w:num w:numId="2" w16cid:durableId="2096314431">
    <w:abstractNumId w:val="7"/>
  </w:num>
  <w:num w:numId="3" w16cid:durableId="168638142">
    <w:abstractNumId w:val="3"/>
  </w:num>
  <w:num w:numId="4" w16cid:durableId="1368876968">
    <w:abstractNumId w:val="2"/>
  </w:num>
  <w:num w:numId="5" w16cid:durableId="2078430769">
    <w:abstractNumId w:val="4"/>
  </w:num>
  <w:num w:numId="6" w16cid:durableId="1809856165">
    <w:abstractNumId w:val="11"/>
  </w:num>
  <w:num w:numId="7" w16cid:durableId="1080835399">
    <w:abstractNumId w:val="8"/>
  </w:num>
  <w:num w:numId="8" w16cid:durableId="1401710045">
    <w:abstractNumId w:val="6"/>
  </w:num>
  <w:num w:numId="9" w16cid:durableId="1075129309">
    <w:abstractNumId w:val="12"/>
  </w:num>
  <w:num w:numId="10" w16cid:durableId="57154311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328576">
    <w:abstractNumId w:val="9"/>
  </w:num>
  <w:num w:numId="12" w16cid:durableId="476461476">
    <w:abstractNumId w:val="1"/>
  </w:num>
  <w:num w:numId="13" w16cid:durableId="449591612">
    <w:abstractNumId w:val="5"/>
  </w:num>
  <w:num w:numId="14" w16cid:durableId="11312872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93"/>
    <w:rsid w:val="00024B9C"/>
    <w:rsid w:val="00026BAC"/>
    <w:rsid w:val="000416E8"/>
    <w:rsid w:val="00062C43"/>
    <w:rsid w:val="00076D0B"/>
    <w:rsid w:val="0007771A"/>
    <w:rsid w:val="000808AE"/>
    <w:rsid w:val="000974D5"/>
    <w:rsid w:val="000A5EB6"/>
    <w:rsid w:val="000B1E5F"/>
    <w:rsid w:val="000C4BB9"/>
    <w:rsid w:val="000D49DA"/>
    <w:rsid w:val="000D7EF8"/>
    <w:rsid w:val="000E2A88"/>
    <w:rsid w:val="00111DBF"/>
    <w:rsid w:val="00132059"/>
    <w:rsid w:val="001327E8"/>
    <w:rsid w:val="00163669"/>
    <w:rsid w:val="001638C9"/>
    <w:rsid w:val="00163D90"/>
    <w:rsid w:val="00166D87"/>
    <w:rsid w:val="001728DB"/>
    <w:rsid w:val="00190F9F"/>
    <w:rsid w:val="00197EB4"/>
    <w:rsid w:val="001A3AAD"/>
    <w:rsid w:val="001C0049"/>
    <w:rsid w:val="001C55BC"/>
    <w:rsid w:val="0020037C"/>
    <w:rsid w:val="00200B48"/>
    <w:rsid w:val="00210CE1"/>
    <w:rsid w:val="00214233"/>
    <w:rsid w:val="00216E33"/>
    <w:rsid w:val="0021713A"/>
    <w:rsid w:val="00261607"/>
    <w:rsid w:val="00280720"/>
    <w:rsid w:val="002852A5"/>
    <w:rsid w:val="002960F1"/>
    <w:rsid w:val="002A2AC6"/>
    <w:rsid w:val="002C7F6C"/>
    <w:rsid w:val="002E7E0A"/>
    <w:rsid w:val="002F12B8"/>
    <w:rsid w:val="002F232D"/>
    <w:rsid w:val="002F4EC7"/>
    <w:rsid w:val="003175D5"/>
    <w:rsid w:val="00324B61"/>
    <w:rsid w:val="00326840"/>
    <w:rsid w:val="003374A9"/>
    <w:rsid w:val="00341699"/>
    <w:rsid w:val="003454BA"/>
    <w:rsid w:val="00370EC2"/>
    <w:rsid w:val="003769F5"/>
    <w:rsid w:val="0037783D"/>
    <w:rsid w:val="0039766F"/>
    <w:rsid w:val="003A2247"/>
    <w:rsid w:val="003A54DE"/>
    <w:rsid w:val="003B29F7"/>
    <w:rsid w:val="003B3A4D"/>
    <w:rsid w:val="003C450B"/>
    <w:rsid w:val="003C7772"/>
    <w:rsid w:val="003E231F"/>
    <w:rsid w:val="004054DC"/>
    <w:rsid w:val="0041408A"/>
    <w:rsid w:val="00427A1C"/>
    <w:rsid w:val="0045325A"/>
    <w:rsid w:val="00453E6B"/>
    <w:rsid w:val="004603B7"/>
    <w:rsid w:val="00465B6F"/>
    <w:rsid w:val="00473B83"/>
    <w:rsid w:val="00487488"/>
    <w:rsid w:val="004B3E53"/>
    <w:rsid w:val="004C49B6"/>
    <w:rsid w:val="004D28D9"/>
    <w:rsid w:val="004D2E53"/>
    <w:rsid w:val="004E4332"/>
    <w:rsid w:val="004E53F7"/>
    <w:rsid w:val="004F1593"/>
    <w:rsid w:val="005003C1"/>
    <w:rsid w:val="0052749B"/>
    <w:rsid w:val="00531232"/>
    <w:rsid w:val="005321E1"/>
    <w:rsid w:val="00534662"/>
    <w:rsid w:val="00541561"/>
    <w:rsid w:val="00541F93"/>
    <w:rsid w:val="005463AD"/>
    <w:rsid w:val="00557135"/>
    <w:rsid w:val="005675EE"/>
    <w:rsid w:val="0057163C"/>
    <w:rsid w:val="00592316"/>
    <w:rsid w:val="00593319"/>
    <w:rsid w:val="0059374A"/>
    <w:rsid w:val="005A2399"/>
    <w:rsid w:val="005A7702"/>
    <w:rsid w:val="005E59C6"/>
    <w:rsid w:val="005E76D7"/>
    <w:rsid w:val="006353E8"/>
    <w:rsid w:val="0063792E"/>
    <w:rsid w:val="006560F5"/>
    <w:rsid w:val="006673D8"/>
    <w:rsid w:val="0068406C"/>
    <w:rsid w:val="006A2CB8"/>
    <w:rsid w:val="006A5292"/>
    <w:rsid w:val="006A6CE5"/>
    <w:rsid w:val="006B78AE"/>
    <w:rsid w:val="006C7D57"/>
    <w:rsid w:val="006D71D8"/>
    <w:rsid w:val="006E038F"/>
    <w:rsid w:val="006F31F8"/>
    <w:rsid w:val="007050EF"/>
    <w:rsid w:val="007263DB"/>
    <w:rsid w:val="007434D7"/>
    <w:rsid w:val="00747DD9"/>
    <w:rsid w:val="007531EB"/>
    <w:rsid w:val="007552C6"/>
    <w:rsid w:val="007650A7"/>
    <w:rsid w:val="007712D1"/>
    <w:rsid w:val="00790D4F"/>
    <w:rsid w:val="007B34F1"/>
    <w:rsid w:val="007B4992"/>
    <w:rsid w:val="007C456E"/>
    <w:rsid w:val="007D6385"/>
    <w:rsid w:val="007F24ED"/>
    <w:rsid w:val="007F5A32"/>
    <w:rsid w:val="007F74C9"/>
    <w:rsid w:val="00821D14"/>
    <w:rsid w:val="00891F5B"/>
    <w:rsid w:val="008B0263"/>
    <w:rsid w:val="008B033E"/>
    <w:rsid w:val="008B1559"/>
    <w:rsid w:val="008C64B2"/>
    <w:rsid w:val="008C6DC6"/>
    <w:rsid w:val="008F5B08"/>
    <w:rsid w:val="00930240"/>
    <w:rsid w:val="009363AB"/>
    <w:rsid w:val="0096162C"/>
    <w:rsid w:val="009764BE"/>
    <w:rsid w:val="00977E81"/>
    <w:rsid w:val="009865B5"/>
    <w:rsid w:val="00994796"/>
    <w:rsid w:val="009A0FA6"/>
    <w:rsid w:val="009A774B"/>
    <w:rsid w:val="009C407A"/>
    <w:rsid w:val="00A02404"/>
    <w:rsid w:val="00A23617"/>
    <w:rsid w:val="00A26D88"/>
    <w:rsid w:val="00A363D8"/>
    <w:rsid w:val="00A510D8"/>
    <w:rsid w:val="00A73C3E"/>
    <w:rsid w:val="00A83367"/>
    <w:rsid w:val="00A93E06"/>
    <w:rsid w:val="00A94360"/>
    <w:rsid w:val="00AA3B0B"/>
    <w:rsid w:val="00AA6E7B"/>
    <w:rsid w:val="00AB4156"/>
    <w:rsid w:val="00AC2667"/>
    <w:rsid w:val="00AC7193"/>
    <w:rsid w:val="00AC74A1"/>
    <w:rsid w:val="00AD0BF6"/>
    <w:rsid w:val="00AE6601"/>
    <w:rsid w:val="00B156A7"/>
    <w:rsid w:val="00B1628F"/>
    <w:rsid w:val="00B452A1"/>
    <w:rsid w:val="00B62F3B"/>
    <w:rsid w:val="00B9746A"/>
    <w:rsid w:val="00BA681E"/>
    <w:rsid w:val="00BB5F20"/>
    <w:rsid w:val="00BC5B7D"/>
    <w:rsid w:val="00BE1474"/>
    <w:rsid w:val="00C016E0"/>
    <w:rsid w:val="00C03163"/>
    <w:rsid w:val="00C04AAC"/>
    <w:rsid w:val="00C05055"/>
    <w:rsid w:val="00C05D8F"/>
    <w:rsid w:val="00C12F9D"/>
    <w:rsid w:val="00C17DFA"/>
    <w:rsid w:val="00C40408"/>
    <w:rsid w:val="00C74779"/>
    <w:rsid w:val="00C87780"/>
    <w:rsid w:val="00C94DED"/>
    <w:rsid w:val="00CB307C"/>
    <w:rsid w:val="00CB58CB"/>
    <w:rsid w:val="00CB65AA"/>
    <w:rsid w:val="00CD198B"/>
    <w:rsid w:val="00CE071B"/>
    <w:rsid w:val="00CE6DCA"/>
    <w:rsid w:val="00CF3087"/>
    <w:rsid w:val="00D16C50"/>
    <w:rsid w:val="00D335DA"/>
    <w:rsid w:val="00D36AA2"/>
    <w:rsid w:val="00D44D48"/>
    <w:rsid w:val="00D566CD"/>
    <w:rsid w:val="00D84978"/>
    <w:rsid w:val="00DA2E24"/>
    <w:rsid w:val="00DB2941"/>
    <w:rsid w:val="00DB5F65"/>
    <w:rsid w:val="00DD1B54"/>
    <w:rsid w:val="00DE4872"/>
    <w:rsid w:val="00DE49F9"/>
    <w:rsid w:val="00DF30BA"/>
    <w:rsid w:val="00DF3CA0"/>
    <w:rsid w:val="00E126CB"/>
    <w:rsid w:val="00E14540"/>
    <w:rsid w:val="00E30680"/>
    <w:rsid w:val="00E616E8"/>
    <w:rsid w:val="00E61DF0"/>
    <w:rsid w:val="00E71C31"/>
    <w:rsid w:val="00E764A2"/>
    <w:rsid w:val="00E95A90"/>
    <w:rsid w:val="00EB6208"/>
    <w:rsid w:val="00EB623A"/>
    <w:rsid w:val="00ED47B9"/>
    <w:rsid w:val="00EE14D9"/>
    <w:rsid w:val="00F258FC"/>
    <w:rsid w:val="00F31946"/>
    <w:rsid w:val="00F35181"/>
    <w:rsid w:val="00F41083"/>
    <w:rsid w:val="00F9660B"/>
    <w:rsid w:val="00FA3256"/>
    <w:rsid w:val="00FA62CE"/>
    <w:rsid w:val="00FA64A9"/>
    <w:rsid w:val="00FB3D15"/>
    <w:rsid w:val="00FB4637"/>
    <w:rsid w:val="00FC7B24"/>
    <w:rsid w:val="00FD73D6"/>
    <w:rsid w:val="00FF6C9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1E9A8"/>
  <w15:chartTrackingRefBased/>
  <w15:docId w15:val="{1E171ED9-E4FA-46B3-A5D9-52AF4519A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qFormat/>
    <w:rsid w:val="000A5EB6"/>
    <w:pPr>
      <w:keepNext/>
      <w:keepLines/>
      <w:numPr>
        <w:numId w:val="1"/>
      </w:numPr>
      <w:suppressAutoHyphens/>
      <w:spacing w:before="240" w:after="0" w:line="252" w:lineRule="auto"/>
      <w:outlineLvl w:val="0"/>
    </w:pPr>
    <w:rPr>
      <w:rFonts w:ascii="Times New Roman" w:eastAsia="font301" w:hAnsi="Times New Roman" w:cs="font301"/>
      <w:b/>
      <w:kern w:val="1"/>
      <w:sz w:val="36"/>
      <w:szCs w:val="32"/>
    </w:rPr>
  </w:style>
  <w:style w:type="paragraph" w:styleId="Titlu2">
    <w:name w:val="heading 2"/>
    <w:basedOn w:val="Normal"/>
    <w:next w:val="Normal"/>
    <w:link w:val="Titlu2Caracter"/>
    <w:qFormat/>
    <w:rsid w:val="000A5EB6"/>
    <w:pPr>
      <w:keepNext/>
      <w:keepLines/>
      <w:numPr>
        <w:ilvl w:val="1"/>
        <w:numId w:val="1"/>
      </w:numPr>
      <w:suppressAutoHyphens/>
      <w:spacing w:before="40" w:after="0" w:line="252" w:lineRule="auto"/>
      <w:outlineLvl w:val="1"/>
    </w:pPr>
    <w:rPr>
      <w:rFonts w:ascii="Times New Roman" w:eastAsia="font301" w:hAnsi="Times New Roman" w:cs="font301"/>
      <w:b/>
      <w:kern w:val="1"/>
      <w:sz w:val="32"/>
      <w:szCs w:val="26"/>
    </w:rPr>
  </w:style>
  <w:style w:type="paragraph" w:styleId="Titlu3">
    <w:name w:val="heading 3"/>
    <w:basedOn w:val="Normal"/>
    <w:next w:val="Normal"/>
    <w:link w:val="Titlu3Caracter"/>
    <w:qFormat/>
    <w:rsid w:val="000A5EB6"/>
    <w:pPr>
      <w:keepNext/>
      <w:keepLines/>
      <w:numPr>
        <w:ilvl w:val="2"/>
        <w:numId w:val="1"/>
      </w:numPr>
      <w:suppressAutoHyphens/>
      <w:spacing w:before="40" w:after="0" w:line="252" w:lineRule="auto"/>
      <w:outlineLvl w:val="2"/>
    </w:pPr>
    <w:rPr>
      <w:rFonts w:ascii="Times New Roman" w:eastAsia="font301" w:hAnsi="Times New Roman" w:cs="font301"/>
      <w:b/>
      <w:kern w:val="1"/>
      <w:sz w:val="28"/>
      <w:szCs w:val="24"/>
    </w:rPr>
  </w:style>
  <w:style w:type="paragraph" w:styleId="Titlu4">
    <w:name w:val="heading 4"/>
    <w:basedOn w:val="Normal"/>
    <w:next w:val="Normal"/>
    <w:link w:val="Titlu4Caracter"/>
    <w:qFormat/>
    <w:rsid w:val="000A5EB6"/>
    <w:pPr>
      <w:keepNext/>
      <w:keepLines/>
      <w:numPr>
        <w:ilvl w:val="3"/>
        <w:numId w:val="1"/>
      </w:numPr>
      <w:suppressAutoHyphens/>
      <w:spacing w:before="40" w:after="0" w:line="252" w:lineRule="auto"/>
      <w:outlineLvl w:val="3"/>
    </w:pPr>
    <w:rPr>
      <w:rFonts w:ascii="Times New Roman" w:eastAsia="font301" w:hAnsi="Times New Roman" w:cs="font301"/>
      <w:b/>
      <w:iCs/>
      <w:kern w:val="1"/>
      <w:sz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Char,Κεφαλίδα 1,Κεφαλίδα 1 Char Char"/>
    <w:basedOn w:val="Normal"/>
    <w:link w:val="AntetCaracter"/>
    <w:uiPriority w:val="99"/>
    <w:unhideWhenUsed/>
    <w:rsid w:val="00E61DF0"/>
    <w:pPr>
      <w:tabs>
        <w:tab w:val="center" w:pos="4536"/>
        <w:tab w:val="right" w:pos="9072"/>
      </w:tabs>
      <w:spacing w:after="0" w:line="240" w:lineRule="auto"/>
    </w:pPr>
  </w:style>
  <w:style w:type="character" w:customStyle="1" w:styleId="AntetCaracter">
    <w:name w:val="Antet Caracter"/>
    <w:aliases w:val="Char Caracter,Κεφαλίδα 1 Caracter,Κεφαλίδα 1 Char Char Caracter"/>
    <w:basedOn w:val="Fontdeparagrafimplicit"/>
    <w:link w:val="Antet"/>
    <w:uiPriority w:val="99"/>
    <w:rsid w:val="00E61DF0"/>
  </w:style>
  <w:style w:type="paragraph" w:styleId="Subsol">
    <w:name w:val="footer"/>
    <w:basedOn w:val="Normal"/>
    <w:link w:val="SubsolCaracter"/>
    <w:uiPriority w:val="99"/>
    <w:unhideWhenUsed/>
    <w:rsid w:val="00E61DF0"/>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E61DF0"/>
  </w:style>
  <w:style w:type="paragraph" w:styleId="NormalWeb">
    <w:name w:val="Normal (Web)"/>
    <w:basedOn w:val="Normal"/>
    <w:uiPriority w:val="99"/>
    <w:rsid w:val="00E61DF0"/>
    <w:pPr>
      <w:suppressAutoHyphens/>
      <w:spacing w:before="280" w:after="280" w:line="240" w:lineRule="auto"/>
    </w:pPr>
    <w:rPr>
      <w:rFonts w:ascii="Times New Roman" w:eastAsia="Times New Roman" w:hAnsi="Times New Roman" w:cs="Times New Roman"/>
      <w:kern w:val="1"/>
      <w:sz w:val="24"/>
      <w:szCs w:val="24"/>
      <w:lang w:val="en-US"/>
    </w:rPr>
  </w:style>
  <w:style w:type="character" w:styleId="Accentuaresubtil">
    <w:name w:val="Subtle Emphasis"/>
    <w:uiPriority w:val="19"/>
    <w:qFormat/>
    <w:rsid w:val="00E61DF0"/>
    <w:rPr>
      <w:i/>
      <w:iCs/>
      <w:color w:val="404040"/>
    </w:rPr>
  </w:style>
  <w:style w:type="character" w:customStyle="1" w:styleId="Titlu1Caracter">
    <w:name w:val="Titlu 1 Caracter"/>
    <w:basedOn w:val="Fontdeparagrafimplicit"/>
    <w:link w:val="Titlu1"/>
    <w:rsid w:val="000A5EB6"/>
    <w:rPr>
      <w:rFonts w:ascii="Times New Roman" w:eastAsia="font301" w:hAnsi="Times New Roman" w:cs="font301"/>
      <w:b/>
      <w:kern w:val="1"/>
      <w:sz w:val="36"/>
      <w:szCs w:val="32"/>
    </w:rPr>
  </w:style>
  <w:style w:type="character" w:customStyle="1" w:styleId="Titlu2Caracter">
    <w:name w:val="Titlu 2 Caracter"/>
    <w:basedOn w:val="Fontdeparagrafimplicit"/>
    <w:link w:val="Titlu2"/>
    <w:rsid w:val="000A5EB6"/>
    <w:rPr>
      <w:rFonts w:ascii="Times New Roman" w:eastAsia="font301" w:hAnsi="Times New Roman" w:cs="font301"/>
      <w:b/>
      <w:kern w:val="1"/>
      <w:sz w:val="32"/>
      <w:szCs w:val="26"/>
    </w:rPr>
  </w:style>
  <w:style w:type="character" w:customStyle="1" w:styleId="Titlu3Caracter">
    <w:name w:val="Titlu 3 Caracter"/>
    <w:basedOn w:val="Fontdeparagrafimplicit"/>
    <w:link w:val="Titlu3"/>
    <w:rsid w:val="000A5EB6"/>
    <w:rPr>
      <w:rFonts w:ascii="Times New Roman" w:eastAsia="font301" w:hAnsi="Times New Roman" w:cs="font301"/>
      <w:b/>
      <w:kern w:val="1"/>
      <w:sz w:val="28"/>
      <w:szCs w:val="24"/>
    </w:rPr>
  </w:style>
  <w:style w:type="character" w:customStyle="1" w:styleId="Titlu4Caracter">
    <w:name w:val="Titlu 4 Caracter"/>
    <w:basedOn w:val="Fontdeparagrafimplicit"/>
    <w:link w:val="Titlu4"/>
    <w:rsid w:val="000A5EB6"/>
    <w:rPr>
      <w:rFonts w:ascii="Times New Roman" w:eastAsia="font301" w:hAnsi="Times New Roman" w:cs="font301"/>
      <w:b/>
      <w:iCs/>
      <w:kern w:val="1"/>
      <w:sz w:val="28"/>
    </w:rPr>
  </w:style>
  <w:style w:type="paragraph" w:styleId="Listparagraf">
    <w:name w:val="List Paragraph"/>
    <w:aliases w:val="Akapit z listą BS,Outlines a.b.c.,List_Paragraph,Multilevel para_II,Akapit z lista BS,List Paragraph1,Normal bullet 2,List1,body 2,List Paragraph11,Listă colorată - Accentuare 11,Bullet,Citation List,Forth level,List Paragraph compact,L,2"/>
    <w:basedOn w:val="Normal"/>
    <w:link w:val="ListparagrafCaracter"/>
    <w:uiPriority w:val="1"/>
    <w:qFormat/>
    <w:rsid w:val="00DE4872"/>
    <w:pPr>
      <w:suppressAutoHyphens/>
      <w:spacing w:line="252" w:lineRule="auto"/>
      <w:ind w:left="720"/>
      <w:contextualSpacing/>
    </w:pPr>
    <w:rPr>
      <w:rFonts w:ascii="Calibri" w:eastAsia="Calibri" w:hAnsi="Calibri" w:cs="font301"/>
      <w:kern w:val="1"/>
    </w:rPr>
  </w:style>
  <w:style w:type="character" w:customStyle="1" w:styleId="ListparagrafCaracter">
    <w:name w:val="Listă paragraf Caracter"/>
    <w:aliases w:val="Akapit z listą BS Caracter,Outlines a.b.c. Caracter,List_Paragraph Caracter,Multilevel para_II Caracter,Akapit z lista BS Caracter,List Paragraph1 Caracter,Normal bullet 2 Caracter,List1 Caracter,body 2 Caracter,Bullet Caracter"/>
    <w:link w:val="Listparagraf"/>
    <w:uiPriority w:val="1"/>
    <w:qFormat/>
    <w:locked/>
    <w:rsid w:val="00DE4872"/>
    <w:rPr>
      <w:rFonts w:ascii="Calibri" w:eastAsia="Calibri" w:hAnsi="Calibri" w:cs="font301"/>
      <w:kern w:val="1"/>
    </w:rPr>
  </w:style>
  <w:style w:type="paragraph" w:customStyle="1" w:styleId="Default">
    <w:name w:val="Default"/>
    <w:rsid w:val="004603B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Robust">
    <w:name w:val="Strong"/>
    <w:uiPriority w:val="22"/>
    <w:qFormat/>
    <w:rsid w:val="004603B7"/>
    <w:rPr>
      <w:b/>
      <w:bCs/>
    </w:rPr>
  </w:style>
  <w:style w:type="character" w:styleId="Hyperlink">
    <w:name w:val="Hyperlink"/>
    <w:basedOn w:val="Fontdeparagrafimplicit"/>
    <w:uiPriority w:val="99"/>
    <w:unhideWhenUsed/>
    <w:rsid w:val="007263DB"/>
    <w:rPr>
      <w:color w:val="0563C1" w:themeColor="hyperlink"/>
      <w:u w:val="single"/>
    </w:rPr>
  </w:style>
  <w:style w:type="character" w:styleId="MeniuneNerezolvat">
    <w:name w:val="Unresolved Mention"/>
    <w:basedOn w:val="Fontdeparagrafimplicit"/>
    <w:uiPriority w:val="99"/>
    <w:semiHidden/>
    <w:unhideWhenUsed/>
    <w:rsid w:val="007263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878911">
      <w:bodyDiv w:val="1"/>
      <w:marLeft w:val="0"/>
      <w:marRight w:val="0"/>
      <w:marTop w:val="0"/>
      <w:marBottom w:val="0"/>
      <w:divBdr>
        <w:top w:val="none" w:sz="0" w:space="0" w:color="auto"/>
        <w:left w:val="none" w:sz="0" w:space="0" w:color="auto"/>
        <w:bottom w:val="none" w:sz="0" w:space="0" w:color="auto"/>
        <w:right w:val="none" w:sz="0" w:space="0" w:color="auto"/>
      </w:divBdr>
    </w:div>
    <w:div w:id="352807075">
      <w:bodyDiv w:val="1"/>
      <w:marLeft w:val="0"/>
      <w:marRight w:val="0"/>
      <w:marTop w:val="0"/>
      <w:marBottom w:val="0"/>
      <w:divBdr>
        <w:top w:val="none" w:sz="0" w:space="0" w:color="auto"/>
        <w:left w:val="none" w:sz="0" w:space="0" w:color="auto"/>
        <w:bottom w:val="none" w:sz="0" w:space="0" w:color="auto"/>
        <w:right w:val="none" w:sz="0" w:space="0" w:color="auto"/>
      </w:divBdr>
    </w:div>
    <w:div w:id="139389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648D6-27E7-4311-AF90-12AD92F88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11</Pages>
  <Words>5001</Words>
  <Characters>29009</Characters>
  <Application>Microsoft Office Word</Application>
  <DocSecurity>0</DocSecurity>
  <Lines>241</Lines>
  <Paragraphs>67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Dumbrava Virgil</dc:creator>
  <cp:keywords/>
  <dc:description/>
  <cp:lastModifiedBy>Tulbure Mihaela</cp:lastModifiedBy>
  <cp:revision>17</cp:revision>
  <cp:lastPrinted>2026-09-25T07:04:00Z</cp:lastPrinted>
  <dcterms:created xsi:type="dcterms:W3CDTF">2025-12-16T10:40:00Z</dcterms:created>
  <dcterms:modified xsi:type="dcterms:W3CDTF">2026-09-25T10:03:00Z</dcterms:modified>
</cp:coreProperties>
</file>