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rtl w:val="0"/>
        </w:rPr>
        <w:tab/>
        <w:tab/>
        <w:tab/>
        <w:tab/>
        <w:tab/>
        <w:tab/>
        <w:tab/>
        <w:tab/>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Comunicat privind identificarea unor administratori provizorii pentru</w:t>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Societatea</w:t>
      </w:r>
      <w:r w:rsidDel="00000000" w:rsidR="00000000" w:rsidRPr="00000000">
        <w:rPr>
          <w:rFonts w:ascii="Times New Roman" w:cs="Times New Roman" w:eastAsia="Times New Roman" w:hAnsi="Times New Roman"/>
          <w:b w:val="1"/>
          <w:bCs w:val="1"/>
          <w:sz w:val="28"/>
          <w:szCs w:val="28"/>
          <w:highlight w:val="white"/>
          <w:rtl w:val="0"/>
        </w:rPr>
        <w:t xml:space="preserve"> PARC INDUSTRIAL</w:t>
      </w:r>
      <w:r w:rsidDel="00000000" w:rsidR="00000000" w:rsidRPr="00000000">
        <w:rPr>
          <w:rFonts w:ascii="Times New Roman" w:cs="Times New Roman" w:eastAsia="Times New Roman" w:hAnsi="Times New Roman"/>
          <w:b w:val="1"/>
          <w:bCs w:val="1"/>
          <w:sz w:val="28"/>
          <w:szCs w:val="28"/>
          <w:rtl w:val="0"/>
        </w:rPr>
        <w:t xml:space="preserve"> VRANCEA S.R.L.</w:t>
      </w:r>
    </w:p>
    <w:p w:rsidR="00000000" w:rsidDel="00000000" w:rsidP="00000000" w:rsidRDefault="00000000" w:rsidRPr="00000000" w14:paraId="00000004">
      <w:pPr>
        <w:shd w:fill="ffffff" w:val="clea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U.A.T. Județul Vrancea, în calitate de Asociat Unic la Societatea PARC INDUSTRIAL VRANCEA S.R.L., </w:t>
      </w:r>
      <w:r w:rsidDel="00000000" w:rsidR="00000000" w:rsidRPr="00000000">
        <w:rPr>
          <w:rFonts w:ascii="Times New Roman" w:cs="Times New Roman" w:eastAsia="Times New Roman" w:hAnsi="Times New Roman"/>
          <w:b w:val="1"/>
          <w:bCs w:val="1"/>
          <w:u w:val="single"/>
          <w:rtl w:val="0"/>
        </w:rPr>
        <w:t xml:space="preserve">face apel la persoanele interesate care consideră că pot aduce un plus de valoare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și care îndeplinesc condițiile de ocupare a funcției de administrator provizoriu la Societatea Parc Industrial Vrancea SRL, prevăzute în O.U.G. nr. 109/2011 privind guvernanţa corporativă a întreprinderilor publice, după cum urmează: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9">
      <w:pPr>
        <w:ind w:right="159"/>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Condiții generale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cetățenie română, cetățenie a altor state membre ale Uniunii Europene sau a statelor aparținând Spațiului Economic European și domiciliul în România;</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Cunoaște limba română (scris și vorbit);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capacitate deplină de exercițiu;</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o stare de sănătate corespunzătoare funcției pentru care candidează, atestată pe baza adeverinței medicale eliberată de medicina muncii;</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 a fost destituit dintr-o funcție publică și/sau nu i-a încetat contractul individual de muncă pentru motive disciplinare în ultimii 5 ani;</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 are înscrieri în cazierul judiciar și în cazierul fiscal;</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 a fost condamnat prin hotărâre judecătorească definitivă pentru infracțiunile prevăzute la art. 6 din Legea societăților nr. 31/1990, republicată, cu modificările și completările ulterioare, pentru infracțiuni contra patrimoniului prin nesocotirea încrederii, infracțiuni de corupție, delapidare, fals în înscrisuri, evaziune fiscală, infracțiuni prevăzute de Legea nr. 129/2019 pentru prevenirea și sancționarea spălării banilor – declarație pe propria răspundere;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Nu se află într-una din situațiile prevăzute de art.88 din Legea nr.161/2003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privind unele măsuri pentru asigurarea transparenței în exercitarea demnităților publice, a funcțiilor publice și în mediul de afaceri, prevenirea și sancționarea faptelor de corupție, precum și cele referitoare la conflictul de interese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și a statutului societății cu poziția de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Administrator</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al societății;</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 perioada executării mandatului/mandatelor nu a fost revocat din funcție în ultimii cinci ani.</w:t>
      </w:r>
    </w:p>
    <w:p w:rsidR="00000000" w:rsidDel="00000000" w:rsidP="00000000" w:rsidRDefault="00000000" w:rsidRPr="00000000" w14:paraId="00000013">
      <w:pPr>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4">
      <w:pPr>
        <w:ind w:right="159"/>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Criterii Specifice</w:t>
      </w:r>
    </w:p>
    <w:p w:rsidR="00000000" w:rsidDel="00000000" w:rsidP="00000000" w:rsidRDefault="00000000" w:rsidRPr="00000000" w14:paraId="00000015">
      <w:pPr>
        <w:ind w:right="159"/>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59"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Studii superioare finalizate cel puţin cu diplomă de licenţă și experienţă în domeniul ştiinţelor inginereşti, economice, sociale, juridice sau în domeniul de activitate al respectivei întreprinderi publice de minimum 7 ani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(carnet de muncă; adeverințe eliberate de angajatori însoțite de extras Revisal; contract individual de muncă, însoțit de fișa postuluietc)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obligatoriu</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experienţă de minimum 3 ani în conducerea societăţilor, întreprinderi publice sau cu capital privat, ori a regiilor autonome</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certificat constatator ONRC, contracte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de mandat/management și adeverințe eliberate de entitățile juridice în care au dobândit această experiență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obligatoriu;</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 puţin unul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Book Antiqua" w:cs="Book Antiqua" w:eastAsia="Book Antiqua" w:hAnsi="Book Antiqua"/>
          <w:b w:val="0"/>
          <w:bCs w:val="0"/>
          <w:i w:val="0"/>
          <w:iCs w:val="0"/>
          <w:smallCaps w:val="0"/>
          <w:strike w:val="0"/>
          <w:color w:val="000000"/>
          <w:sz w:val="20"/>
          <w:szCs w:val="20"/>
          <w:u w:val="none"/>
          <w:shd w:fill="auto" w:val="clear"/>
          <w:vertAlign w:val="baseline"/>
        </w:rPr>
      </w:pPr>
      <w:bookmarkStart w:colFirst="0" w:colLast="0" w:name="_9zjoz93swjul" w:id="0"/>
      <w:bookmarkEnd w:id="0"/>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Persoanele interesate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sunt invitate să-și depună dosarul 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Registratura Consiliului Județean Vrancea,</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Municipiul Focșani, Str. Cuza Vodă nr. 56, Județ Vrancea</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cod 620034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și/sau</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în format electronic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 adresa </w:t>
      </w:r>
      <w:hyperlink r:id="rId6">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contact@cjvrancea.ro</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termen de 15 zile de la publicarea prezentului comunicat.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Dosarul va cuprinde următoarele documente:</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Opis documente;</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Curriculum Vitae,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 Europass, redactat în limba română;</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Adeverință care să ateste starea de sănătate corespunzătoare, eliberată de către medicul de familie al candidatului sau de către unitățile sanitare abilitate – original;</w:t>
      </w:r>
      <w:r w:rsidDel="00000000" w:rsidR="00000000" w:rsidRPr="00000000">
        <w:rPr>
          <w:rtl w:val="0"/>
        </w:rPr>
      </w:r>
    </w:p>
    <w:p w:rsidR="00000000" w:rsidDel="00000000" w:rsidP="00000000" w:rsidRDefault="00000000" w:rsidRPr="00000000" w14:paraId="00000022">
      <w:pP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Copii de pe următoarele documente: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 de identitate (B.I./C.I./Pașaport) pentru persoane fizice, respectiv copie certificat de înmatriculare și certificat constatator pentru persoane juridice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obligatoriu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certificat de căsătorie sau alte acte – obligatoriu doar în cazul în care numele de pe actele depuse este diferit față de cel înscris pe actul de identitate copie – opțional</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documente care să ateste nivelul studiilor absolvite (diplomă licență, master, doctorat cu supliment, după caz)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obligatoriu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alte documente care să certifice efectuarea altor specializări (diplomă de studii aprofundate și/sau certificate ANC cu supliment)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opțional</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orice alte documente care să dovedească participarea la conferințe, seminare și/sau cursuri, fără certificare ANC (diplome de participare)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opțional</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documente care să ateste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single"/>
          <w:vertAlign w:val="baseline"/>
          <w:rtl w:val="0"/>
        </w:rPr>
        <w:t xml:space="preserve">experiența profesională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de cel puțin 7 ani</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singl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în domeniul științelor inginerești, economice, sociale, juridice sau în domeniul de activitate al respectivei întreprinderi publice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(carnet de muncă; adeverințe eliberate de angajatori însoțite de extras Revisal; contract individual de muncă, însoțit de fișa postului etc.)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obligatoriu</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documente care să ateste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experienţa în conducerea societăţilor sau regiilor autonome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(certificat constatator ONRC, contracte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de mandat/management și adeverințe eliberate de entitățile juridice în care au dobândit această experiență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obligatoriu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documente care să ateste că este autorizat ca auditor financiar și înregistrat în Registrul public electronic de către autoritatea competentă din România, din alt stat membru, din Spațiul Economic European sau din Elveția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ori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deține experiență de cel puțin 3 ani în audit statutar dobândită prin participarea la misiuni de audit statutar în România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sau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cadrul comitetelor de audit formate la nivelul consiliilor de administrație/supraveghere ale unor societăți/entități de interes public, dovedită cu documente justificative. (carnet și/sau certificate profesionale eliberate de CAFR, atestate și/sau certificate profesionale eliberate de asociații profesionale în domeniul financiar, audit, expert contabil – CECCAR, și/sau decizii ale Consiliului de administrație și adeverință că deține sau a deținut funcția de membru în comitetul de audit).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asemenea, Dosarul va cuprinde în mod obligatoriu Declarația pe propria răspundere anexată prezentului comunicat.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Observații: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*Analiza și selecția dosarelor va fi realizată în ordinea cronologică a depunerii, în măsura în care îndeplinesc condițiile sus-menționate.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*Primele trei dosare în ordinea depunerii, care îndeplinesc condițiile menționate în prezentul anunț, vor fi transmise Agenției pentru Monitorizarea și Evaluarea Performanțelor Întreprinderilor Publice (A.M.E.P.I.P.), care va emite un aviz pentru validarea, respectiv respingerea propunerilor de candidați.</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*Numirea administratorilor provizorii se va face în baza evaluării şi avizului pentru validare emis de A.M.E.P.I.P.  </w:t>
      </w:r>
    </w:p>
    <w:sectPr>
      <w:headerReference r:id="rId7" w:type="default"/>
      <w:headerReference r:id="rId8" w:type="first"/>
      <w:footerReference r:id="rId9" w:type="default"/>
      <w:footerReference r:id="rId10" w:type="even"/>
      <w:pgSz w:h="16840" w:w="11907" w:orient="portrait"/>
      <w:pgMar w:bottom="720" w:top="720" w:left="1008" w:right="1008" w:header="706"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Book Antiqua"/>
  <w:font w:name="Libre Franklin Medium"/>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center"/>
      <w:rPr>
        <w:rFonts w:ascii="Libre Franklin Medium" w:cs="Libre Franklin Medium" w:eastAsia="Libre Franklin Medium" w:hAnsi="Libre Franklin Medium"/>
        <w:b w:val="0"/>
        <w:bCs w:val="0"/>
        <w:i w:val="0"/>
        <w:iCs w:val="0"/>
        <w:smallCaps w:val="0"/>
        <w:strike w:val="0"/>
        <w:color w:val="000000"/>
        <w:sz w:val="20"/>
        <w:szCs w:val="20"/>
        <w:u w:val="none"/>
        <w:shd w:fill="auto" w:val="clear"/>
        <w:vertAlign w:val="baseline"/>
      </w:rPr>
    </w:pPr>
    <w:r w:rsidDel="00000000" w:rsidR="00000000" w:rsidRPr="00000000">
      <w:rPr>
        <w:rFonts w:ascii="Libre Franklin Medium" w:cs="Libre Franklin Medium" w:eastAsia="Libre Franklin Medium" w:hAnsi="Libre Franklin Medium"/>
        <w:b w:val="0"/>
        <w:bCs w:val="0"/>
        <w:i w:val="0"/>
        <w:iCs w:val="0"/>
        <w:smallCaps w:val="0"/>
        <w:strike w:val="0"/>
        <w:color w:val="000000"/>
        <w:sz w:val="20"/>
        <w:szCs w:val="20"/>
        <w:u w:val="none"/>
        <w:shd w:fill="auto" w:val="clear"/>
        <w:vertAlign w:val="baseline"/>
      </w:rPr>
      <mc:AlternateContent>
        <mc:Choice Requires="wps">
          <w:drawing>
            <wp:inline distB="0" distT="0" distL="0" distR="0">
              <wp:extent cx="5467350" cy="45085"/>
              <wp:effectExtent b="2540" l="9525" r="0" t="9525"/>
              <wp:docPr id="2" name=""/>
              <a:graphic>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extLst>
                    </wps:spPr>
                    <wps:bodyPr anchorCtr="0" anchor="t" bIns="45720" lIns="91440" rIns="91440" rot="0" upright="1" vert="horz" wrap="square" tIns="45720">
                      <a:noAutofit/>
                    </wps:bodyPr>
                  </wps:wsp>
                </a:graphicData>
              </a:graphic>
            </wp:inline>
          </w:drawing>
        </mc:Choice>
        <mc:Fallback>
          <w:drawing>
            <wp:inline distB="0" distT="0" distL="0" distR="0">
              <wp:extent cx="5476875" cy="5715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476875" cy="571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center"/>
      <w:rPr>
        <w:rFonts w:ascii="Libre Franklin Medium" w:cs="Libre Franklin Medium" w:eastAsia="Libre Franklin Medium" w:hAnsi="Libre Franklin Medium"/>
        <w:b w:val="0"/>
        <w:bCs w:val="0"/>
        <w:i w:val="0"/>
        <w:iCs w:val="0"/>
        <w:smallCaps w:val="0"/>
        <w:strike w:val="0"/>
        <w:color w:val="000000"/>
        <w:sz w:val="20"/>
        <w:szCs w:val="20"/>
        <w:u w:val="none"/>
        <w:shd w:fill="auto" w:val="clear"/>
        <w:vertAlign w:val="baseline"/>
      </w:rPr>
    </w:pPr>
    <w:r w:rsidDel="00000000" w:rsidR="00000000" w:rsidRPr="00000000">
      <w:rPr>
        <w:rFonts w:ascii="Libre Franklin Medium" w:cs="Libre Franklin Medium" w:eastAsia="Libre Franklin Medium" w:hAnsi="Libre Franklin Medium"/>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Libre Franklin Medium" w:cs="Libre Franklin Medium" w:eastAsia="Libre Franklin Medium" w:hAnsi="Libre Franklin Medium"/>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center"/>
      <w:rPr>
        <w:rFonts w:ascii="Libre Franklin Medium" w:cs="Libre Franklin Medium" w:eastAsia="Libre Franklin Medium" w:hAnsi="Libre Franklin Medium"/>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2857500</wp:posOffset>
              </wp:positionH>
              <wp:positionV relativeFrom="paragraph">
                <wp:posOffset>0</wp:posOffset>
              </wp:positionV>
              <wp:extent cx="565785" cy="191770"/>
              <wp:effectExtent b="0" l="0" r="0" t="0"/>
              <wp:wrapNone/>
              <wp:docPr id="1" name=""/>
              <a:graphic>
                <a:graphicData uri="http://schemas.microsoft.com/office/word/2010/wordprocessingShape">
                  <wps:wsp>
                    <wps:cNvSpPr>
                      <a:spLocks noChangeArrowheads="1"/>
                    </wps:cNvSpPr>
                    <wps:spPr bwMode="auto">
                      <a:xfrm flipH="1" rot="10800000">
                        <a:off x="0" y="0"/>
                        <a:ext cx="565785" cy="191770"/>
                      </a:xfrm>
                      <a:prstGeom prst="rect">
                        <a:avLst/>
                      </a:prstGeom>
                      <a:noFill/>
                      <a:ln>
                        <a:noFill/>
                      </a:ln>
                      <a:extLst>
                        <a:ext uri="{909E8E84-426E-40DD-AFC4-6F175D3DCCD1}"/>
                        <a:ext uri="{91240B29-F687-4F45-9708-019B960494DF}"/>
                      </a:extLst>
                    </wps:spPr>
                    <wps:txbx>
                      <w:txbxContent>
                        <w:p w:rsidR="009149CF" w:rsidDel="00000000" w:rsidP="00000000" w:rsidRDefault="009149CF" w:rsidRPr="009149CF" w14:paraId="2D27151F" w14:textId="77777777">
                          <w:pPr>
                            <w:pBdr>
                              <w:top w:color="7f7f7f" w:space="1" w:sz="4" w:themeColor="background1" w:themeShade="00007F" w:val="single"/>
                            </w:pBdr>
                            <w:jc w:val="center"/>
                          </w:pPr>
                          <w:r w:rsidDel="00000000" w:rsidR="00000000" w:rsidRPr="009149CF">
                            <w:fldChar w:fldCharType="begin"/>
                          </w:r>
                          <w:r w:rsidDel="00000000" w:rsidR="00000000" w:rsidRPr="009149CF">
                            <w:instrText xml:space="preserve"> PAGE   \* MERGEFORMAT </w:instrText>
                          </w:r>
                          <w:r w:rsidDel="00000000" w:rsidR="00000000" w:rsidRPr="009149CF">
                            <w:fldChar w:fldCharType="separate"/>
                          </w:r>
                          <w:r w:rsidDel="00000000" w:rsidR="008169BB" w:rsidRPr="00000000">
                            <w:rPr>
                              <w:noProof w:val="1"/>
                            </w:rPr>
                            <w:t>1</w:t>
                          </w:r>
                          <w:r w:rsidDel="00000000" w:rsidR="00000000" w:rsidRPr="009149CF">
                            <w:rPr>
                              <w:noProof w:val="1"/>
                            </w:rPr>
                            <w:fldChar w:fldCharType="end"/>
                          </w:r>
                        </w:p>
                      </w:txbxContent>
                    </wps:txbx>
                    <wps:bodyPr anchorCtr="0" anchor="t" bIns="0" lIns="91440" rIns="91440" rot="0" upright="1" vert="horz"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2857500</wp:posOffset>
              </wp:positionH>
              <wp:positionV relativeFrom="paragraph">
                <wp:posOffset>0</wp:posOffset>
              </wp:positionV>
              <wp:extent cx="565785" cy="19177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rot="10800000">
                        <a:off x="0" y="0"/>
                        <a:ext cx="565785" cy="19177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Libre Franklin Medium" w:cs="Libre Franklin Medium" w:eastAsia="Libre Franklin Medium" w:hAnsi="Libre Franklin Medium"/>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bullet"/>
      <w:lvlText w:val="-"/>
      <w:lvlJc w:val="left"/>
      <w:pPr>
        <w:ind w:left="360" w:hanging="360"/>
      </w:pPr>
      <w:rPr>
        <w:rFonts w:ascii="Times New Roman" w:cs="Times New Roman" w:eastAsia="Times New Roman" w:hAnsi="Times New Roman"/>
        <w:b w:val="1"/>
        <w:bCs w:val="1"/>
      </w:rPr>
    </w:lvl>
    <w:lvl w:ilvl="1">
      <w:start w:val="1"/>
      <w:numFmt w:val="bullet"/>
      <w:lvlText w:val="o"/>
      <w:lvlJc w:val="left"/>
      <w:pPr>
        <w:ind w:left="2720" w:hanging="360"/>
      </w:pPr>
      <w:rPr>
        <w:rFonts w:ascii="Courier New" w:cs="Courier New" w:eastAsia="Courier New" w:hAnsi="Courier New"/>
      </w:rPr>
    </w:lvl>
    <w:lvl w:ilvl="2">
      <w:start w:val="1"/>
      <w:numFmt w:val="bullet"/>
      <w:lvlText w:val="▪"/>
      <w:lvlJc w:val="left"/>
      <w:pPr>
        <w:ind w:left="3440" w:hanging="360"/>
      </w:pPr>
      <w:rPr>
        <w:rFonts w:ascii="Noto Sans Symbols" w:cs="Noto Sans Symbols" w:eastAsia="Noto Sans Symbols" w:hAnsi="Noto Sans Symbols"/>
      </w:rPr>
    </w:lvl>
    <w:lvl w:ilvl="3">
      <w:start w:val="1"/>
      <w:numFmt w:val="bullet"/>
      <w:lvlText w:val="●"/>
      <w:lvlJc w:val="left"/>
      <w:pPr>
        <w:ind w:left="4160" w:hanging="360"/>
      </w:pPr>
      <w:rPr>
        <w:rFonts w:ascii="Noto Sans Symbols" w:cs="Noto Sans Symbols" w:eastAsia="Noto Sans Symbols" w:hAnsi="Noto Sans Symbols"/>
      </w:rPr>
    </w:lvl>
    <w:lvl w:ilvl="4">
      <w:start w:val="1"/>
      <w:numFmt w:val="bullet"/>
      <w:lvlText w:val="o"/>
      <w:lvlJc w:val="left"/>
      <w:pPr>
        <w:ind w:left="4880" w:hanging="360"/>
      </w:pPr>
      <w:rPr>
        <w:rFonts w:ascii="Courier New" w:cs="Courier New" w:eastAsia="Courier New" w:hAnsi="Courier New"/>
      </w:rPr>
    </w:lvl>
    <w:lvl w:ilvl="5">
      <w:start w:val="1"/>
      <w:numFmt w:val="bullet"/>
      <w:lvlText w:val="▪"/>
      <w:lvlJc w:val="left"/>
      <w:pPr>
        <w:ind w:left="5600" w:hanging="360"/>
      </w:pPr>
      <w:rPr>
        <w:rFonts w:ascii="Noto Sans Symbols" w:cs="Noto Sans Symbols" w:eastAsia="Noto Sans Symbols" w:hAnsi="Noto Sans Symbols"/>
      </w:rPr>
    </w:lvl>
    <w:lvl w:ilvl="6">
      <w:start w:val="1"/>
      <w:numFmt w:val="bullet"/>
      <w:lvlText w:val="●"/>
      <w:lvlJc w:val="left"/>
      <w:pPr>
        <w:ind w:left="6320" w:hanging="360"/>
      </w:pPr>
      <w:rPr>
        <w:rFonts w:ascii="Noto Sans Symbols" w:cs="Noto Sans Symbols" w:eastAsia="Noto Sans Symbols" w:hAnsi="Noto Sans Symbols"/>
      </w:rPr>
    </w:lvl>
    <w:lvl w:ilvl="7">
      <w:start w:val="1"/>
      <w:numFmt w:val="bullet"/>
      <w:lvlText w:val="o"/>
      <w:lvlJc w:val="left"/>
      <w:pPr>
        <w:ind w:left="7040" w:hanging="360"/>
      </w:pPr>
      <w:rPr>
        <w:rFonts w:ascii="Courier New" w:cs="Courier New" w:eastAsia="Courier New" w:hAnsi="Courier New"/>
      </w:rPr>
    </w:lvl>
    <w:lvl w:ilvl="8">
      <w:start w:val="1"/>
      <w:numFmt w:val="bullet"/>
      <w:lvlText w:val="▪"/>
      <w:lvlJc w:val="left"/>
      <w:pPr>
        <w:ind w:left="7760" w:hanging="360"/>
      </w:pPr>
      <w:rPr>
        <w:rFonts w:ascii="Noto Sans Symbols" w:cs="Noto Sans Symbols" w:eastAsia="Noto Sans Symbols" w:hAnsi="Noto Sans Symbols"/>
      </w:rPr>
    </w:lvl>
  </w:abstractNum>
  <w:abstractNum w:abstractNumId="2">
    <w:lvl w:ilvl="0">
      <w:start w:val="0"/>
      <w:numFmt w:val="bullet"/>
      <w:lvlText w:val="-"/>
      <w:lvlJc w:val="left"/>
      <w:pPr>
        <w:ind w:left="360" w:hanging="360"/>
      </w:pPr>
      <w:rPr>
        <w:rFonts w:ascii="Times New Roman" w:cs="Times New Roman" w:eastAsia="Times New Roman" w:hAnsi="Times New Roman"/>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 Antiqua" w:cs="Book Antiqua" w:eastAsia="Book Antiqua" w:hAnsi="Book Antiqua"/>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Libre Franklin Medium" w:cs="Libre Franklin Medium" w:eastAsia="Libre Franklin Medium" w:hAnsi="Libre Franklin Medium"/>
      <w:b w:val="1"/>
      <w:bCs w:val="1"/>
      <w:sz w:val="80"/>
      <w:szCs w:val="80"/>
    </w:rPr>
  </w:style>
  <w:style w:type="paragraph" w:styleId="Heading2">
    <w:name w:val="heading 2"/>
    <w:basedOn w:val="Normal"/>
    <w:next w:val="Normal"/>
    <w:pPr/>
    <w:rPr>
      <w:rFonts w:ascii="Libre Franklin Medium" w:cs="Libre Franklin Medium" w:eastAsia="Libre Franklin Medium" w:hAnsi="Libre Franklin Medium"/>
      <w:sz w:val="36"/>
      <w:szCs w:val="36"/>
    </w:rPr>
  </w:style>
  <w:style w:type="paragraph" w:styleId="Heading3">
    <w:name w:val="heading 3"/>
    <w:basedOn w:val="Normal"/>
    <w:next w:val="Normal"/>
    <w:pPr>
      <w:jc w:val="center"/>
    </w:pPr>
    <w:rPr>
      <w:rFonts w:ascii="Libre Franklin Medium" w:cs="Libre Franklin Medium" w:eastAsia="Libre Franklin Medium" w:hAnsi="Libre Franklin Medium"/>
      <w:b w:val="1"/>
      <w:bCs w:val="1"/>
      <w:color w:val="000000"/>
      <w:sz w:val="44"/>
      <w:szCs w:val="44"/>
    </w:rPr>
  </w:style>
  <w:style w:type="paragraph" w:styleId="Heading4">
    <w:name w:val="heading 4"/>
    <w:basedOn w:val="Normal"/>
    <w:next w:val="Normal"/>
    <w:pPr>
      <w:ind w:left="567" w:right="567"/>
      <w:jc w:val="center"/>
    </w:pPr>
    <w:rPr>
      <w:b w:val="1"/>
      <w:bCs w:val="1"/>
      <w:sz w:val="80"/>
      <w:szCs w:val="80"/>
    </w:rPr>
  </w:style>
  <w:style w:type="paragraph" w:styleId="Heading5">
    <w:name w:val="heading 5"/>
    <w:basedOn w:val="Normal"/>
    <w:next w:val="Normal"/>
    <w:pPr/>
    <w:rPr>
      <w:b w:val="1"/>
      <w:bCs w:val="1"/>
      <w:color w:val="e2b80f"/>
      <w:sz w:val="28"/>
      <w:szCs w:val="28"/>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contact@cjvrancea.ro" TargetMode="Externa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