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1CEB" w14:textId="0078E9E9" w:rsidR="00FE523C" w:rsidRPr="00FE523C" w:rsidRDefault="00FE523C" w:rsidP="00FE52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ROMÂNIA </w:t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  <w:t xml:space="preserve">                                                             </w:t>
      </w:r>
    </w:p>
    <w:p w14:paraId="5BE261B3" w14:textId="6F8EC037" w:rsidR="00FE523C" w:rsidRPr="00FE523C" w:rsidRDefault="00FE523C" w:rsidP="00FE52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JUDEŢUL VRANCEA</w:t>
      </w:r>
      <w:r w:rsidRPr="00FE523C">
        <w:t xml:space="preserve"> </w:t>
      </w:r>
      <w:r>
        <w:t xml:space="preserve">                                                                                                       </w:t>
      </w:r>
    </w:p>
    <w:p w14:paraId="16CAF34F" w14:textId="77777777" w:rsidR="00FE523C" w:rsidRPr="00FE523C" w:rsidRDefault="00FE523C" w:rsidP="00FE52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CONSILIUL JUDEŢEAN </w:t>
      </w:r>
      <w:r w:rsidRPr="00FE523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156B6EEC" w14:textId="77777777" w:rsidR="00F438E8" w:rsidRDefault="00F438E8" w:rsidP="00F461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0CACF44D" w14:textId="77777777" w:rsidR="00FE523C" w:rsidRPr="00F461E7" w:rsidRDefault="00FE523C" w:rsidP="00F461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78FAE2CB" w14:textId="6759356C" w:rsidR="00F461E7" w:rsidRPr="00F461E7" w:rsidRDefault="00F461E7" w:rsidP="00F461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HOTĂRÂREA </w:t>
      </w:r>
      <w:r w:rsidR="0003137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n</w:t>
      </w: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r.</w:t>
      </w:r>
      <w:r w:rsidR="00201C4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31</w:t>
      </w:r>
    </w:p>
    <w:p w14:paraId="0DDDB8B6" w14:textId="3CEFAB2E" w:rsidR="002A7438" w:rsidRPr="002A7438" w:rsidRDefault="002A7438" w:rsidP="002A74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A7438">
        <w:rPr>
          <w:rFonts w:ascii="Times New Roman" w:hAnsi="Times New Roman" w:cs="Times New Roman"/>
          <w:b/>
          <w:bCs/>
          <w:sz w:val="28"/>
          <w:szCs w:val="28"/>
        </w:rPr>
        <w:t>din 18 martie 2026</w:t>
      </w:r>
    </w:p>
    <w:p w14:paraId="3D24EA41" w14:textId="77777777" w:rsidR="00F461E7" w:rsidRPr="00F461E7" w:rsidRDefault="00F461E7" w:rsidP="00F461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C3B843F" w14:textId="77777777" w:rsidR="00F461E7" w:rsidRPr="00F461E7" w:rsidRDefault="00F461E7" w:rsidP="00F4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224D4D6A" w14:textId="4BFAFC14" w:rsidR="00F461E7" w:rsidRPr="00F461E7" w:rsidRDefault="00F461E7" w:rsidP="00B1579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="00203B6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203B6D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cordarea cu titlu gratuit</w:t>
      </w:r>
      <w:r w:rsidR="00203B6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 cantității de </w:t>
      </w:r>
      <w:r w:rsidR="00203B6D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895,53 m.c.</w:t>
      </w:r>
      <w:r w:rsidR="00203B6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material lemnos </w:t>
      </w:r>
      <w:r w:rsidR="00203B6D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către</w:t>
      </w:r>
      <w:r w:rsidR="00203B6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unele</w:t>
      </w:r>
      <w:r w:rsidR="00203B6D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instituții subordonate Consiliului Județean Vrancea</w:t>
      </w:r>
    </w:p>
    <w:p w14:paraId="4C6C2CFA" w14:textId="77777777" w:rsidR="00F461E7" w:rsidRPr="00F461E7" w:rsidRDefault="00F461E7" w:rsidP="00F4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23A6D8DD" w14:textId="0B427D1C" w:rsidR="00F461E7" w:rsidRPr="00031376" w:rsidRDefault="00F461E7" w:rsidP="00F46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Consiliul Județean Vrancea, </w:t>
      </w:r>
    </w:p>
    <w:p w14:paraId="66260895" w14:textId="398A7BF5" w:rsidR="0001028F" w:rsidRPr="00BA4AD4" w:rsidRDefault="00F461E7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5E1E1F"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având în vedere</w:t>
      </w:r>
      <w:r w:rsidR="005E1E1F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referatul nr.</w:t>
      </w:r>
      <w:r w:rsidR="00DE55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013F4C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C06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201/3979 din </w:t>
      </w:r>
      <w:r w:rsidR="00013F4C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C060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18</w:t>
      </w:r>
      <w:r w:rsidR="00DE55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="002C595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01</w:t>
      </w:r>
      <w:r w:rsidR="00DE55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.202</w:t>
      </w:r>
      <w:r w:rsidR="002C595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6</w:t>
      </w:r>
      <w:r w:rsidR="00DE55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E1E1F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al Direcției Tehnice și Investiții din cadrul Consiliului Județean Vrancea privind </w:t>
      </w:r>
      <w:r w:rsidR="004E0E3B" w:rsidRPr="004E0E3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acordarea cu titlu gratuit către instituțiile subordonate Consiliului Județean Vrancea a masei lemnoase în cantitate de 895,53 m.c. înscrisă în evidențele contabile ale Unității Administrativ-Teritoriale Județul Vrancea cu valoarea de 75.824,53 lei</w:t>
      </w:r>
      <w:r w:rsidR="00A4139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097368FE" w14:textId="77777777" w:rsidR="000774C8" w:rsidRDefault="005E1E1F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-luând act de</w:t>
      </w:r>
      <w:r w:rsidR="000774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74BD5FD7" w14:textId="652B1E0D" w:rsidR="005377D6" w:rsidRPr="0093749A" w:rsidRDefault="001E5304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h</w:t>
      </w:r>
      <w:r w:rsidR="00A1460B" w:rsidRPr="00A146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otărârea Consiliului Județean Vrancea nr. 202 din 9 octombrie 2025 </w:t>
      </w:r>
      <w:r w:rsidR="00A146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privind</w:t>
      </w:r>
      <w:r w:rsidR="00A1460B" w:rsidRPr="00A1460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actualizarea Hotărârii Consiliului Județean Vrancea nr.113 din 5 iunie 2025</w:t>
      </w:r>
      <w:r w:rsidR="00CD365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3B25010D" w14:textId="10296F86" w:rsidR="003E5493" w:rsidRDefault="000774C8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="00BC32D2" w:rsidRPr="00BC32D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rețul de referință pentru masa lemnoasă aferentă </w:t>
      </w:r>
      <w:r w:rsidR="006B2CD9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BC32D2" w:rsidRPr="00BC32D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ctului de punere în valoare nr. 5064, conform adresei din partea Direcției Silvice Vrancea - Ocolul Silvic Focșani nr. 3500/27.05.2025, înregistrată la Consiliul Județean Vrancea sub nr. 8798/27.05.2025;</w:t>
      </w:r>
    </w:p>
    <w:p w14:paraId="60872798" w14:textId="50EC559A" w:rsidR="00CB4693" w:rsidRDefault="000774C8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5A623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dres</w:t>
      </w:r>
      <w:r w:rsid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5A623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Direcți</w:t>
      </w:r>
      <w:r w:rsidR="00FE435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ei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Generale de Asistență Socială și Protecția Copilului Vrancea</w:t>
      </w:r>
      <w:r w:rsid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nr. 16943/28.07.2025,  înregistrat</w:t>
      </w:r>
      <w:r w:rsid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ă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la Consiliul Județean Vrancea sub nr. 201/1436</w:t>
      </w:r>
      <w:r w:rsidR="002E225C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28.07.2025;</w:t>
      </w:r>
    </w:p>
    <w:p w14:paraId="42CF0819" w14:textId="4E1A2F90" w:rsidR="00CB4693" w:rsidRDefault="00CB4693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dresa</w:t>
      </w:r>
      <w:r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Centrul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ui</w:t>
      </w:r>
      <w:r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Școlar Pentru Educație Incluzivă Mihălceni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cu nr. </w:t>
      </w:r>
      <w:r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855/28.07.2025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BC32D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înregistrată la Consiliul Județean Vrancea sub nr.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AF439D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1375 din 28.07.2025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2CBB29B8" w14:textId="20A82EB7" w:rsidR="00CB4693" w:rsidRDefault="00CB4693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602859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dresa </w:t>
      </w:r>
      <w:r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Centrul</w:t>
      </w:r>
      <w:r w:rsidR="00602859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ui</w:t>
      </w:r>
      <w:r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Școlar Pentru Educație Incluzivă Măicănești 709/25.07.2025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BC32D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înregistrată la Consiliul Județean Vrancea sub nr.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772DD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1281 din 25.07.2025</w:t>
      </w:r>
      <w:r w:rsidR="005772D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57D7E921" w14:textId="666011DC" w:rsidR="00CB4693" w:rsidRDefault="00602859" w:rsidP="004224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dresa 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Muzeul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ui</w:t>
      </w:r>
      <w:r w:rsidR="00CB4693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Vrancei – Mausoleul Eroilor din Mărășești</w:t>
      </w:r>
      <w:r w:rsidR="00FF30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B336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cu nr.</w:t>
      </w:r>
      <w:r w:rsidR="00B3363A" w:rsidRPr="00B336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B3363A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2330/25.07.2025</w:t>
      </w:r>
      <w:r w:rsidR="00B3363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FF30A4" w:rsidRPr="00BC32D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înregistrată la Consiliul Județean Vrancea sub nr.</w:t>
      </w:r>
      <w:r w:rsidR="00FF30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B3363A" w:rsidRPr="00CB469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1261 din 25.07.2025</w:t>
      </w:r>
      <w:r w:rsidR="00FF30A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37E21EEB" w14:textId="6F40E2D4" w:rsidR="0099124E" w:rsidRDefault="0099124E" w:rsidP="009912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EE365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ctul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unere în 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aloare nr.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5064 /2500117601320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înaintat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Direcția Silvică Vrancea-Ocolul Silvic </w:t>
      </w:r>
      <w:r w:rsidR="00500B3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Focșani prin adresa nr. 3288/15.05.2025, înregistrată la Consiliul Județean Vrancea cu nr. 8317 din 16.05.2025</w:t>
      </w:r>
      <w:r w:rsidR="00500B3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59A9EBF6" w14:textId="7DD83F4B" w:rsidR="00DE49BE" w:rsidRPr="00BA4AD4" w:rsidRDefault="00DE49BE" w:rsidP="009912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-</w:t>
      </w:r>
      <w:r w:rsidRPr="00DE49BE">
        <w:t xml:space="preserve"> </w:t>
      </w:r>
      <w:r w:rsidR="00EE365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Pr="00DE49B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rocesul-</w:t>
      </w:r>
      <w:r w:rsidR="00EE365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</w:t>
      </w:r>
      <w:r w:rsidRPr="00DE49B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erbal de Inventariere înregistrat la Consiliul Județean Vrancea sub nr. 201/7929 din 25.09.2025</w:t>
      </w:r>
    </w:p>
    <w:p w14:paraId="21C856AB" w14:textId="497B52B4" w:rsidR="00B679E6" w:rsidRDefault="00C12FD8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7951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ținând cont de</w:t>
      </w:r>
      <w:r w:rsidR="00B679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</w:p>
    <w:p w14:paraId="7B01274A" w14:textId="77777777" w:rsidR="00B679E6" w:rsidRDefault="00B679E6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- </w:t>
      </w:r>
      <w:r w:rsidRPr="00B679E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prevederile </w:t>
      </w:r>
      <w:r w:rsidR="002B4E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</w:t>
      </w:r>
      <w:r w:rsidR="00795158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egii nr. 331/2024</w:t>
      </w:r>
      <w:r w:rsidR="00D2470E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795158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privind </w:t>
      </w:r>
      <w:r w:rsidR="005876D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</w:t>
      </w:r>
      <w:r w:rsidR="00795158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odul silvic</w:t>
      </w:r>
      <w:r w:rsidR="005876D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="00F51C39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876D3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cu modificările </w:t>
      </w:r>
      <w:r w:rsidR="005876D3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ș</w:t>
      </w:r>
      <w:r w:rsidR="005876D3" w:rsidRPr="00C40E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 completările ulterioar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e;</w:t>
      </w:r>
    </w:p>
    <w:p w14:paraId="0A404635" w14:textId="164A8B4F" w:rsidR="00C12FD8" w:rsidRDefault="00B679E6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="0003137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4C08C8" w:rsidRPr="004C08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nexa Ordinului Ministrului apelor, pădurilor </w:t>
      </w:r>
      <w:proofErr w:type="spellStart"/>
      <w:r w:rsidR="004C08C8" w:rsidRPr="004C08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şi</w:t>
      </w:r>
      <w:proofErr w:type="spellEnd"/>
      <w:r w:rsidR="004C08C8" w:rsidRPr="004C08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protecției mediului nr. 264</w:t>
      </w:r>
      <w:r w:rsidR="00DC49A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</w:t>
      </w:r>
      <w:r w:rsidR="004C08C8" w:rsidRPr="004C08C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1999 pentru aprobarea Normelor tehnice silvice privind gospodărirea vegetației forestiere de pe terenurile din afara fondului forestier național;</w:t>
      </w:r>
    </w:p>
    <w:p w14:paraId="34406A9C" w14:textId="626E66C5" w:rsidR="00A70A00" w:rsidRPr="00C40EC8" w:rsidRDefault="00A70A00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lastRenderedPageBreak/>
        <w:t xml:space="preserve">- </w:t>
      </w:r>
      <w:r w:rsidRPr="00D651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art. 6 alin. (3) lit.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D651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Pr="00D651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H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G</w:t>
      </w:r>
      <w:r w:rsidRPr="00D6511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nr. 715/2017 pentru aprobarea Regulamentului de valorificare a masei lemnoase din fondul forestier proprietate publică</w:t>
      </w:r>
      <w:r w:rsidR="00907B7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4B0F2A9A" w14:textId="7D724AB2" w:rsidR="005E1E1F" w:rsidRDefault="005E1E1F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</w:t>
      </w:r>
      <w:r w:rsidR="00AF68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în baza</w:t>
      </w:r>
      <w:r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prevederilor art. 17</w:t>
      </w:r>
      <w:r w:rsidR="00BC592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3</w:t>
      </w:r>
      <w:r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al</w:t>
      </w:r>
      <w:r w:rsidR="008764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in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. </w:t>
      </w:r>
      <w:r w:rsidR="008764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(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</w:t>
      </w:r>
      <w:r w:rsidR="008764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lit. f</w:t>
      </w:r>
      <w:r w:rsidR="00AF684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</w:t>
      </w:r>
      <w:r w:rsidR="008764F2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O.U.G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BC073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5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7</w:t>
      </w:r>
      <w:r w:rsidR="00F56ED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/2019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F56ED5"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privind Codul Administrativ,</w:t>
      </w:r>
      <w:r w:rsidR="00F56ED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8764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cu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8764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modificările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si </w:t>
      </w:r>
      <w:r w:rsidR="00A4139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completările</w:t>
      </w:r>
      <w:r w:rsidR="002B1DB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ulterioare;</w:t>
      </w:r>
    </w:p>
    <w:p w14:paraId="69903511" w14:textId="633E939B" w:rsidR="00031376" w:rsidRPr="00031376" w:rsidRDefault="00031376" w:rsidP="007A4974">
      <w:pPr>
        <w:pStyle w:val="ListParagraph"/>
        <w:spacing w:after="0"/>
        <w:ind w:left="0" w:right="-15"/>
        <w:jc w:val="both"/>
        <w:rPr>
          <w:rFonts w:ascii="Times New Roman" w:hAnsi="Times New Roman"/>
          <w:bCs/>
          <w:sz w:val="28"/>
          <w:szCs w:val="28"/>
        </w:rPr>
      </w:pPr>
      <w:bookmarkStart w:id="0" w:name="_Hlk216696229"/>
      <w:r w:rsidRPr="00691612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0"/>
    </w:p>
    <w:p w14:paraId="413444F6" w14:textId="3EFD988B" w:rsidR="00DF5198" w:rsidRPr="00907B7B" w:rsidRDefault="005E1E1F" w:rsidP="000313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A4A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 în temeiul</w:t>
      </w:r>
      <w:r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art. 196 alin. (1) lit. a</w:t>
      </w:r>
      <w:r w:rsidR="00793CF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Pr="00BA4AD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O.U.G. nr. 57/2019 privind Codul Administrativ, cu modificările și completările ulterioare,</w:t>
      </w:r>
    </w:p>
    <w:p w14:paraId="61656ED8" w14:textId="77777777" w:rsidR="003019A6" w:rsidRPr="00F461E7" w:rsidRDefault="003019A6" w:rsidP="005E1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123E775" w14:textId="77777777" w:rsidR="00F461E7" w:rsidRDefault="00F461E7" w:rsidP="00F461E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HOTĂRĂŞTE:</w:t>
      </w:r>
    </w:p>
    <w:p w14:paraId="2AB00A8B" w14:textId="77777777" w:rsidR="00793CFD" w:rsidRPr="00F461E7" w:rsidRDefault="00793CFD" w:rsidP="00F461E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158BA26" w14:textId="615DFD5B" w:rsidR="000903D7" w:rsidRDefault="00F60D29" w:rsidP="00B60343">
      <w:pPr>
        <w:spacing w:after="0" w:line="240" w:lineRule="auto"/>
        <w:ind w:left="142" w:hanging="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A0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Art.1</w:t>
      </w:r>
      <w:r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073D1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3019A6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cordarea cu titlu gratuit</w:t>
      </w:r>
      <w:r w:rsidR="000F462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 cantit</w:t>
      </w:r>
      <w:r w:rsidR="005D65A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ății de </w:t>
      </w:r>
      <w:r w:rsidR="005D65AF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895,53 m.c.</w:t>
      </w:r>
      <w:r w:rsidR="005D65A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material lemnos – lemn de foc, pentru consumul propriu</w:t>
      </w:r>
      <w:r w:rsidR="00FA47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(încălzire),</w:t>
      </w:r>
      <w:r w:rsidR="005D65AF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3019A6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către</w:t>
      </w:r>
      <w:r w:rsidR="00FA47F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unele</w:t>
      </w:r>
      <w:r w:rsidR="003019A6" w:rsidRPr="003019A6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instituții subordonate Consiliului Județean Vrancea </w:t>
      </w:r>
      <w:r w:rsidR="00F8498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conform anexei care face parte integranta din prezenta.</w:t>
      </w:r>
    </w:p>
    <w:p w14:paraId="45AA20DF" w14:textId="77777777" w:rsidR="00B60343" w:rsidRPr="00B60343" w:rsidRDefault="00B60343" w:rsidP="00B60343">
      <w:pPr>
        <w:spacing w:after="0" w:line="240" w:lineRule="auto"/>
        <w:ind w:left="142" w:hanging="1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5D3659F9" w14:textId="7F3C43F8" w:rsidR="006051E0" w:rsidRDefault="00F60D29" w:rsidP="007851EE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A02B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Art.2</w:t>
      </w:r>
      <w:r w:rsidR="006051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="006051E0" w:rsidRPr="006051E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Materialul lemnos prevăzut la art. 1 va fi preluat pe bază de proces-verbal de către instituțiile subordonate Consiliului </w:t>
      </w:r>
      <w:r w:rsidR="006051E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J</w:t>
      </w:r>
      <w:r w:rsidR="006051E0" w:rsidRPr="006051E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udețean Vrancea.</w:t>
      </w:r>
    </w:p>
    <w:p w14:paraId="06CB5F69" w14:textId="77777777" w:rsidR="00B60343" w:rsidRPr="006051E0" w:rsidRDefault="00B60343" w:rsidP="007851EE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7253413" w14:textId="7EE45687" w:rsidR="00F00B58" w:rsidRDefault="00E5468B" w:rsidP="00B60343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4A24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După semnarea procesului-verbal, cantitatea de material lemnos prevăzută la art.1 va fi scăzută din evidențele financiar </w:t>
      </w:r>
      <w:r w:rsidR="006F0CA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– contabile ale Unității Administrativ – Teritoriale Județul Vrancea. </w:t>
      </w:r>
    </w:p>
    <w:p w14:paraId="0B8F4F3C" w14:textId="77777777" w:rsidR="00B60343" w:rsidRPr="00B60343" w:rsidRDefault="00B60343" w:rsidP="00B60343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6C05DC87" w14:textId="66E64EAB" w:rsidR="00F461E7" w:rsidRDefault="00F00B58" w:rsidP="00157E57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4A24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</w:t>
      </w:r>
      <w:r w:rsidR="006F0C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4</w:t>
      </w:r>
      <w:r w:rsidR="00264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F60D29"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Prevederile prezentei hotărâri vor fi duse la îndeplinire de </w:t>
      </w:r>
      <w:r w:rsidR="006F0CA5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="00F60D29"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reședintele Consiliului Județean Vrancea prin aparatul de specialitate și vor fi comunicate celor interesați de secretarul general al județului prin Serviciul </w:t>
      </w:r>
      <w:r w:rsidR="00264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F60D29"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dministrație </w:t>
      </w:r>
      <w:r w:rsidR="00264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="00F60D29"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ublică, Monitor Oficial Local și </w:t>
      </w:r>
      <w:r w:rsidR="002644B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="00F60D29" w:rsidRPr="00A02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rhivă din cadrul Direcției Juridice și Administrație Publică.</w:t>
      </w:r>
    </w:p>
    <w:p w14:paraId="1C06130B" w14:textId="77777777" w:rsidR="00157E57" w:rsidRDefault="00157E57" w:rsidP="00157E57">
      <w:pPr>
        <w:spacing w:after="0" w:line="240" w:lineRule="auto"/>
        <w:ind w:left="142" w:right="-4" w:firstLine="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A6F45FA" w14:textId="77777777" w:rsidR="003019A6" w:rsidRPr="00157E57" w:rsidRDefault="003019A6" w:rsidP="00157E57">
      <w:pPr>
        <w:spacing w:after="0" w:line="240" w:lineRule="auto"/>
        <w:ind w:left="142" w:right="-4" w:firstLine="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37EA0B26" w14:textId="77777777" w:rsidR="00F461E7" w:rsidRPr="00F461E7" w:rsidRDefault="00F461E7" w:rsidP="00F461E7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Președintele</w:t>
      </w:r>
    </w:p>
    <w:p w14:paraId="28BA7E0F" w14:textId="77777777" w:rsidR="00F461E7" w:rsidRPr="00F461E7" w:rsidRDefault="00F461E7" w:rsidP="00F461E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1582C358" w14:textId="77777777" w:rsidR="00F461E7" w:rsidRPr="00F461E7" w:rsidRDefault="00F461E7" w:rsidP="00F461E7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Nicușor HALICI</w:t>
      </w:r>
    </w:p>
    <w:p w14:paraId="548CBBCB" w14:textId="77777777" w:rsidR="00F461E7" w:rsidRPr="00F461E7" w:rsidRDefault="00F461E7" w:rsidP="00F461E7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3F3CFCDC" w14:textId="77777777" w:rsidR="00F461E7" w:rsidRPr="00F461E7" w:rsidRDefault="00F461E7" w:rsidP="00F461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1BD6029" w14:textId="54E40A21" w:rsidR="00F461E7" w:rsidRPr="00F461E7" w:rsidRDefault="00F461E7" w:rsidP="00F461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              </w:t>
      </w:r>
      <w:r w:rsidR="00031376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Contrasemnează,</w:t>
      </w:r>
    </w:p>
    <w:p w14:paraId="791ECF5F" w14:textId="77777777" w:rsidR="00F461E7" w:rsidRPr="00F461E7" w:rsidRDefault="00F461E7" w:rsidP="00F461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Secretar general al județului</w:t>
      </w:r>
    </w:p>
    <w:p w14:paraId="2E065E7B" w14:textId="77777777" w:rsidR="00F461E7" w:rsidRPr="00F461E7" w:rsidRDefault="00F461E7" w:rsidP="00F46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F461E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Raluca Dan</w:t>
      </w:r>
    </w:p>
    <w:p w14:paraId="5068335E" w14:textId="77777777" w:rsidR="006674DD" w:rsidRDefault="006674DD"/>
    <w:p w14:paraId="6B49CAD2" w14:textId="77777777" w:rsidR="00C250D0" w:rsidRDefault="00C250D0"/>
    <w:p w14:paraId="7F6879B1" w14:textId="77777777" w:rsidR="00C250D0" w:rsidRDefault="00C250D0"/>
    <w:p w14:paraId="396208F6" w14:textId="77777777" w:rsidR="00B01E2A" w:rsidRDefault="00B01E2A"/>
    <w:p w14:paraId="47517A78" w14:textId="77777777" w:rsidR="00C250D0" w:rsidRDefault="00C250D0"/>
    <w:p w14:paraId="7B660AA0" w14:textId="28731194" w:rsidR="00C250D0" w:rsidRDefault="0076207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250D0" w:rsidSect="00157E57">
      <w:pgSz w:w="12240" w:h="15840"/>
      <w:pgMar w:top="567" w:right="104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1D"/>
    <w:rsid w:val="0001028F"/>
    <w:rsid w:val="00013F4C"/>
    <w:rsid w:val="00017FC5"/>
    <w:rsid w:val="00031376"/>
    <w:rsid w:val="00033298"/>
    <w:rsid w:val="000342CA"/>
    <w:rsid w:val="00036EB2"/>
    <w:rsid w:val="00055505"/>
    <w:rsid w:val="00056839"/>
    <w:rsid w:val="00062A56"/>
    <w:rsid w:val="0007001B"/>
    <w:rsid w:val="00073D1F"/>
    <w:rsid w:val="000774C8"/>
    <w:rsid w:val="000903D7"/>
    <w:rsid w:val="000C783D"/>
    <w:rsid w:val="000F29FA"/>
    <w:rsid w:val="000F44D3"/>
    <w:rsid w:val="000F462D"/>
    <w:rsid w:val="0010266C"/>
    <w:rsid w:val="001336F6"/>
    <w:rsid w:val="001430E9"/>
    <w:rsid w:val="00157E57"/>
    <w:rsid w:val="001A3FE0"/>
    <w:rsid w:val="001B1208"/>
    <w:rsid w:val="001B237C"/>
    <w:rsid w:val="001B7788"/>
    <w:rsid w:val="001E5304"/>
    <w:rsid w:val="001F1DD0"/>
    <w:rsid w:val="00201C48"/>
    <w:rsid w:val="002038DE"/>
    <w:rsid w:val="00203B6D"/>
    <w:rsid w:val="0021547D"/>
    <w:rsid w:val="00232301"/>
    <w:rsid w:val="00244761"/>
    <w:rsid w:val="00252410"/>
    <w:rsid w:val="002644BB"/>
    <w:rsid w:val="00284C9D"/>
    <w:rsid w:val="002921D8"/>
    <w:rsid w:val="00297BC2"/>
    <w:rsid w:val="002A7438"/>
    <w:rsid w:val="002B1DB2"/>
    <w:rsid w:val="002B4ED4"/>
    <w:rsid w:val="002C5951"/>
    <w:rsid w:val="002D0315"/>
    <w:rsid w:val="002E225C"/>
    <w:rsid w:val="003019A6"/>
    <w:rsid w:val="00314638"/>
    <w:rsid w:val="003C2BE8"/>
    <w:rsid w:val="003D6ED9"/>
    <w:rsid w:val="003E5493"/>
    <w:rsid w:val="00402B16"/>
    <w:rsid w:val="004224DE"/>
    <w:rsid w:val="004355FB"/>
    <w:rsid w:val="00453D65"/>
    <w:rsid w:val="004550BF"/>
    <w:rsid w:val="00461CA1"/>
    <w:rsid w:val="004660D1"/>
    <w:rsid w:val="00496219"/>
    <w:rsid w:val="004A242E"/>
    <w:rsid w:val="004C08C8"/>
    <w:rsid w:val="004D2CA5"/>
    <w:rsid w:val="004D64B1"/>
    <w:rsid w:val="004E0E3B"/>
    <w:rsid w:val="004F01F4"/>
    <w:rsid w:val="00500B32"/>
    <w:rsid w:val="0050186B"/>
    <w:rsid w:val="005377D6"/>
    <w:rsid w:val="00542DE2"/>
    <w:rsid w:val="00544A6A"/>
    <w:rsid w:val="005461E0"/>
    <w:rsid w:val="00563FB1"/>
    <w:rsid w:val="005772DD"/>
    <w:rsid w:val="005776BD"/>
    <w:rsid w:val="005853AE"/>
    <w:rsid w:val="005876D3"/>
    <w:rsid w:val="005A623E"/>
    <w:rsid w:val="005B4E9B"/>
    <w:rsid w:val="005D65AF"/>
    <w:rsid w:val="005E1E1F"/>
    <w:rsid w:val="005E60D1"/>
    <w:rsid w:val="00602859"/>
    <w:rsid w:val="006051E0"/>
    <w:rsid w:val="00621EEE"/>
    <w:rsid w:val="00652769"/>
    <w:rsid w:val="0066496E"/>
    <w:rsid w:val="006674DD"/>
    <w:rsid w:val="0067273D"/>
    <w:rsid w:val="00697F74"/>
    <w:rsid w:val="006B2CD9"/>
    <w:rsid w:val="006D3F7D"/>
    <w:rsid w:val="006F0CA5"/>
    <w:rsid w:val="006F5D0B"/>
    <w:rsid w:val="00714E92"/>
    <w:rsid w:val="00720CA5"/>
    <w:rsid w:val="007258F1"/>
    <w:rsid w:val="00733FAE"/>
    <w:rsid w:val="0076207D"/>
    <w:rsid w:val="00770F09"/>
    <w:rsid w:val="00771873"/>
    <w:rsid w:val="00781CDC"/>
    <w:rsid w:val="007851EE"/>
    <w:rsid w:val="00793CFD"/>
    <w:rsid w:val="00795158"/>
    <w:rsid w:val="007A4974"/>
    <w:rsid w:val="007C060A"/>
    <w:rsid w:val="007C2693"/>
    <w:rsid w:val="007E5BF2"/>
    <w:rsid w:val="007E656A"/>
    <w:rsid w:val="00804B3C"/>
    <w:rsid w:val="00836584"/>
    <w:rsid w:val="008470D0"/>
    <w:rsid w:val="0086111D"/>
    <w:rsid w:val="00864E96"/>
    <w:rsid w:val="0087016A"/>
    <w:rsid w:val="00874E51"/>
    <w:rsid w:val="008764F2"/>
    <w:rsid w:val="00876B66"/>
    <w:rsid w:val="00894DC1"/>
    <w:rsid w:val="008A09AE"/>
    <w:rsid w:val="008A3E43"/>
    <w:rsid w:val="00907B7B"/>
    <w:rsid w:val="00930677"/>
    <w:rsid w:val="0093749A"/>
    <w:rsid w:val="00962B95"/>
    <w:rsid w:val="0099124E"/>
    <w:rsid w:val="009A253A"/>
    <w:rsid w:val="009B31A7"/>
    <w:rsid w:val="009B405E"/>
    <w:rsid w:val="009C3715"/>
    <w:rsid w:val="00A1460B"/>
    <w:rsid w:val="00A4139A"/>
    <w:rsid w:val="00A509FB"/>
    <w:rsid w:val="00A54BD4"/>
    <w:rsid w:val="00A70A00"/>
    <w:rsid w:val="00A760D5"/>
    <w:rsid w:val="00AA3D5A"/>
    <w:rsid w:val="00AA3E91"/>
    <w:rsid w:val="00AD7B18"/>
    <w:rsid w:val="00AE3DE3"/>
    <w:rsid w:val="00AF439D"/>
    <w:rsid w:val="00AF5C23"/>
    <w:rsid w:val="00AF684B"/>
    <w:rsid w:val="00B01E2A"/>
    <w:rsid w:val="00B15799"/>
    <w:rsid w:val="00B3363A"/>
    <w:rsid w:val="00B411C3"/>
    <w:rsid w:val="00B45A67"/>
    <w:rsid w:val="00B523E2"/>
    <w:rsid w:val="00B557FD"/>
    <w:rsid w:val="00B60343"/>
    <w:rsid w:val="00B679E6"/>
    <w:rsid w:val="00B83089"/>
    <w:rsid w:val="00B93A67"/>
    <w:rsid w:val="00BC0738"/>
    <w:rsid w:val="00BC32D2"/>
    <w:rsid w:val="00BC5920"/>
    <w:rsid w:val="00BD72B2"/>
    <w:rsid w:val="00C055A7"/>
    <w:rsid w:val="00C12FD8"/>
    <w:rsid w:val="00C162AC"/>
    <w:rsid w:val="00C21586"/>
    <w:rsid w:val="00C250D0"/>
    <w:rsid w:val="00C40EC8"/>
    <w:rsid w:val="00C43C15"/>
    <w:rsid w:val="00C96A31"/>
    <w:rsid w:val="00CB4693"/>
    <w:rsid w:val="00CD3657"/>
    <w:rsid w:val="00D20BA0"/>
    <w:rsid w:val="00D2470E"/>
    <w:rsid w:val="00D32978"/>
    <w:rsid w:val="00D54AC0"/>
    <w:rsid w:val="00D66AA4"/>
    <w:rsid w:val="00DC49AD"/>
    <w:rsid w:val="00DE49BE"/>
    <w:rsid w:val="00DE550B"/>
    <w:rsid w:val="00DE6715"/>
    <w:rsid w:val="00DF0BD1"/>
    <w:rsid w:val="00DF1E4A"/>
    <w:rsid w:val="00DF5198"/>
    <w:rsid w:val="00E002D1"/>
    <w:rsid w:val="00E02254"/>
    <w:rsid w:val="00E04FB3"/>
    <w:rsid w:val="00E5468B"/>
    <w:rsid w:val="00E54EF5"/>
    <w:rsid w:val="00E60B7C"/>
    <w:rsid w:val="00E769A8"/>
    <w:rsid w:val="00E8669A"/>
    <w:rsid w:val="00E907A2"/>
    <w:rsid w:val="00E95FEB"/>
    <w:rsid w:val="00EA3539"/>
    <w:rsid w:val="00EB16A8"/>
    <w:rsid w:val="00EE3651"/>
    <w:rsid w:val="00F00B58"/>
    <w:rsid w:val="00F31B66"/>
    <w:rsid w:val="00F358E8"/>
    <w:rsid w:val="00F438E8"/>
    <w:rsid w:val="00F461E7"/>
    <w:rsid w:val="00F51C39"/>
    <w:rsid w:val="00F561BB"/>
    <w:rsid w:val="00F56ED5"/>
    <w:rsid w:val="00F60D29"/>
    <w:rsid w:val="00F76F28"/>
    <w:rsid w:val="00F84985"/>
    <w:rsid w:val="00F90212"/>
    <w:rsid w:val="00F9126F"/>
    <w:rsid w:val="00FA3811"/>
    <w:rsid w:val="00FA47F2"/>
    <w:rsid w:val="00FB4BC5"/>
    <w:rsid w:val="00FD404B"/>
    <w:rsid w:val="00FE435E"/>
    <w:rsid w:val="00FE523C"/>
    <w:rsid w:val="00FF30A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6B5D"/>
  <w15:chartTrackingRefBased/>
  <w15:docId w15:val="{9A8156AA-2077-47F9-85E1-C64F2266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1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611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86111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1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1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1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1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1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1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61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1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1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6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1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61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1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611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0315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cp:keywords/>
  <dc:description/>
  <cp:lastModifiedBy>Rali Veronica</cp:lastModifiedBy>
  <cp:revision>46</cp:revision>
  <cp:lastPrinted>2026-03-18T07:39:00Z</cp:lastPrinted>
  <dcterms:created xsi:type="dcterms:W3CDTF">2026-01-23T08:22:00Z</dcterms:created>
  <dcterms:modified xsi:type="dcterms:W3CDTF">2026-03-19T06:49:00Z</dcterms:modified>
</cp:coreProperties>
</file>