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17E5" w14:textId="77777777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Informare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modificările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legislative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aduse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Ordinul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nr. 904/2023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corelarea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documentațiilor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de urbanism cu </w:t>
      </w:r>
      <w:proofErr w:type="spellStart"/>
      <w:r w:rsidRPr="00C92CEE">
        <w:rPr>
          <w:rFonts w:ascii="Times New Roman" w:hAnsi="Times New Roman" w:cs="Times New Roman"/>
          <w:b/>
          <w:bCs/>
          <w:sz w:val="26"/>
          <w:szCs w:val="26"/>
        </w:rPr>
        <w:t>Legea</w:t>
      </w:r>
      <w:proofErr w:type="spellEnd"/>
      <w:r w:rsidRPr="00C92CEE">
        <w:rPr>
          <w:rFonts w:ascii="Times New Roman" w:hAnsi="Times New Roman" w:cs="Times New Roman"/>
          <w:b/>
          <w:bCs/>
          <w:sz w:val="26"/>
          <w:szCs w:val="26"/>
        </w:rPr>
        <w:t xml:space="preserve"> nr. 246/2022</w:t>
      </w:r>
    </w:p>
    <w:p w14:paraId="78D223A1" w14:textId="77777777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</w:rPr>
      </w:pPr>
      <w:r w:rsidRPr="00C92CEE">
        <w:rPr>
          <w:rFonts w:ascii="Times New Roman" w:hAnsi="Times New Roman" w:cs="Times New Roman"/>
          <w:sz w:val="26"/>
          <w:szCs w:val="26"/>
        </w:rPr>
        <w:t xml:space="preserve">Prin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Ordinul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nr. 904 din 15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2023 au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modificate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completate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Normele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metodologice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aplicare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nr. 350/2001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amenajarea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teritoriului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urbanismul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modificări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introduc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cerințe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esențiale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modul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elaborare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actualizare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amenajare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teritoriului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Totodată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au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aprobate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Normele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tehnice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realizarea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seturilor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date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spațiale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aferente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planurilor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amenajare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teritoriului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aplicabile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etapizat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următoare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>.</w:t>
      </w:r>
    </w:p>
    <w:p w14:paraId="182FD35D" w14:textId="77777777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</w:rPr>
      </w:pPr>
      <w:r w:rsidRPr="00C92CEE">
        <w:rPr>
          <w:rFonts w:ascii="Times New Roman" w:hAnsi="Times New Roman" w:cs="Times New Roman"/>
          <w:sz w:val="26"/>
          <w:szCs w:val="26"/>
        </w:rPr>
        <w:t xml:space="preserve">Conform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noilor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reglementări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amenajare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teritoriului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trebuie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elaborate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atât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format analogic,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cât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digital, pe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suport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topografic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actualizat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sistem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proiecție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Stereografic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1970. Este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obligatorie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integrarea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componente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geospațiale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standardizate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structurate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formă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baze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date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vectoriale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realizate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conform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specificațiilor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tehnice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ordin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Aceste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cerințe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urmăresc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formatelor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deschise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recunoscute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nivel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internațional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aplicarea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reguli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clare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organizare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topologie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datelor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asigurarea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interoperabilității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temele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date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spațiale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Directiva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INSPIRE.</w:t>
      </w:r>
    </w:p>
    <w:p w14:paraId="2312C973" w14:textId="77777777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utiliza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structură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standardizată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directoare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fișiere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organizată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conform art. 4 din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Normele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Tehnice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din 2023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seturile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date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spațiale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aferente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urbanism.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zonelor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funcționale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propuse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detalia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subzone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funcționale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raport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specificul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local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standardizate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Ordinului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nr. 904/2023.</w:t>
      </w:r>
    </w:p>
    <w:p w14:paraId="4AD0B705" w14:textId="77777777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</w:rPr>
      </w:pPr>
      <w:r w:rsidRPr="00C92CEE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studiile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fundamentare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stau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elaborării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aprobării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planurilor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urbanistice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generale, conform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Anexa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nr. 2 – Tabel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sintetic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elaborarea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planurilor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urbanistice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generale (P.U.G.) pe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unități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administrativ-teritoriale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trebuie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corelate cu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dispozițiile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nr. 246/2022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zonele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metropolitane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astfel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încât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procesul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planificare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urbană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reflecte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principiile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dezvoltare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teritorială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integrată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coordonată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unităților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administrativ-teritoriale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interconectate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>.</w:t>
      </w:r>
    </w:p>
    <w:p w14:paraId="5773E060" w14:textId="77777777" w:rsidR="001E6FB1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uniformizării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standardizării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conținutului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zonele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funcționale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propuse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încadrate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: </w:t>
      </w:r>
      <w:r w:rsidR="001E6FB1" w:rsidRPr="00C92CEE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: 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>a)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aflată permanent sub ape;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b)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fond forestier;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c)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terenuri agricole;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d)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unităţi agrozootehnice;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e)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echipare tehnico-edilitară;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f)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căi de comunicaţie şi transporturi;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g)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centrală;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h)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mixtă;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i)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instituţii publice;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j)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comerţ şi servicii;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k)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locuinţe şi funcţiuni complementare;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l)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unităţi industriale şi de depozitare;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m)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gospodării comunale;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n)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spaţii verzi, sport şi agrement;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o)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cu destinaţie specială;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p)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exploatare resurse naturale;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q)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zonă terenuri neproductive;</w:t>
      </w:r>
      <w:r w:rsidR="001E6FB1" w:rsidRPr="00C92CE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r)</w:t>
      </w:r>
      <w:r w:rsidR="001E6FB1" w:rsidRPr="00C92CEE">
        <w:rPr>
          <w:rFonts w:ascii="Times New Roman" w:hAnsi="Times New Roman" w:cs="Times New Roman"/>
          <w:sz w:val="26"/>
          <w:szCs w:val="26"/>
          <w:lang w:val="ro-RO"/>
        </w:rPr>
        <w:t>alte zone definite de specificul teritoriului.</w:t>
      </w:r>
    </w:p>
    <w:p w14:paraId="7A3F9B94" w14:textId="1373A855" w:rsidR="00CC50DB" w:rsidRPr="00C92CEE" w:rsidRDefault="00CC50DB" w:rsidP="00C92CEE">
      <w:pPr>
        <w:ind w:right="-42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Noile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reglementări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aplică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deja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finanțate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programe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naționale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Planul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Național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Redresare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Reziliență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(PNRR),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iar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începând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cu data de 1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ianuarie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devin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obligatorii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toate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documentațiile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urbanism,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indiferent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sursa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92CEE">
        <w:rPr>
          <w:rFonts w:ascii="Times New Roman" w:hAnsi="Times New Roman" w:cs="Times New Roman"/>
          <w:sz w:val="26"/>
          <w:szCs w:val="26"/>
        </w:rPr>
        <w:t>finanțare</w:t>
      </w:r>
      <w:proofErr w:type="spellEnd"/>
      <w:r w:rsidRPr="00C92CEE">
        <w:rPr>
          <w:rFonts w:ascii="Times New Roman" w:hAnsi="Times New Roman" w:cs="Times New Roman"/>
          <w:sz w:val="26"/>
          <w:szCs w:val="26"/>
        </w:rPr>
        <w:t>.</w:t>
      </w:r>
    </w:p>
    <w:sectPr w:rsidR="00CC50DB" w:rsidRPr="00C92CEE" w:rsidSect="00C92CEE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ED"/>
    <w:rsid w:val="000A6E53"/>
    <w:rsid w:val="001E6FB1"/>
    <w:rsid w:val="00224C7D"/>
    <w:rsid w:val="0028062C"/>
    <w:rsid w:val="00295F39"/>
    <w:rsid w:val="002D16BB"/>
    <w:rsid w:val="00324A80"/>
    <w:rsid w:val="00332E19"/>
    <w:rsid w:val="0041003C"/>
    <w:rsid w:val="004842DC"/>
    <w:rsid w:val="00587D4B"/>
    <w:rsid w:val="00666C65"/>
    <w:rsid w:val="0067120B"/>
    <w:rsid w:val="006E6D75"/>
    <w:rsid w:val="00757A60"/>
    <w:rsid w:val="00886824"/>
    <w:rsid w:val="009023CA"/>
    <w:rsid w:val="00936401"/>
    <w:rsid w:val="00940630"/>
    <w:rsid w:val="009C2EAF"/>
    <w:rsid w:val="00C92CEE"/>
    <w:rsid w:val="00CC50DB"/>
    <w:rsid w:val="00D0200A"/>
    <w:rsid w:val="00DC6FED"/>
    <w:rsid w:val="00EA1119"/>
    <w:rsid w:val="00FA643C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E502"/>
  <w15:chartTrackingRefBased/>
  <w15:docId w15:val="{DE53208E-1A70-46B4-BA04-CEF31AF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Bobeica Iuliana</cp:lastModifiedBy>
  <cp:revision>2</cp:revision>
  <dcterms:created xsi:type="dcterms:W3CDTF">2025-10-15T05:41:00Z</dcterms:created>
  <dcterms:modified xsi:type="dcterms:W3CDTF">2025-10-15T05:41:00Z</dcterms:modified>
</cp:coreProperties>
</file>