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CFD1" w14:textId="77777777" w:rsidR="001A4238" w:rsidRPr="00B5480A" w:rsidRDefault="001A4238" w:rsidP="00DE0793">
      <w:pPr>
        <w:pStyle w:val="Frspaiere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2B36DFE0" w14:textId="77777777" w:rsidR="0073333D" w:rsidRDefault="0073333D" w:rsidP="0073333D">
      <w:pPr>
        <w:pStyle w:val="Indentcorptext"/>
        <w:ind w:firstLine="0"/>
        <w:jc w:val="both"/>
        <w:rPr>
          <w:b/>
          <w:bCs/>
          <w:sz w:val="28"/>
          <w:szCs w:val="28"/>
        </w:rPr>
      </w:pPr>
    </w:p>
    <w:p w14:paraId="73375B41" w14:textId="77777777" w:rsidR="0073333D" w:rsidRDefault="0073333D" w:rsidP="0073333D">
      <w:pPr>
        <w:pStyle w:val="Indentcorptext"/>
        <w:ind w:firstLine="0"/>
        <w:jc w:val="both"/>
        <w:rPr>
          <w:b/>
          <w:bCs/>
          <w:sz w:val="28"/>
          <w:szCs w:val="28"/>
        </w:rPr>
      </w:pPr>
      <w:bookmarkStart w:id="0" w:name="_Hlk196725626"/>
    </w:p>
    <w:p w14:paraId="2DB4C660" w14:textId="6D5B22AA" w:rsidR="0073333D" w:rsidRPr="004846DE" w:rsidRDefault="0073333D" w:rsidP="0073333D">
      <w:pPr>
        <w:pStyle w:val="Indentcorptext"/>
        <w:ind w:firstLine="0"/>
        <w:jc w:val="both"/>
        <w:rPr>
          <w:bCs/>
          <w:sz w:val="28"/>
          <w:szCs w:val="28"/>
        </w:rPr>
      </w:pPr>
      <w:r w:rsidRPr="004846DE">
        <w:rPr>
          <w:b/>
          <w:bCs/>
          <w:sz w:val="28"/>
          <w:szCs w:val="28"/>
        </w:rPr>
        <w:t xml:space="preserve">ROMÂNIA                                                                                              </w:t>
      </w:r>
      <w:r w:rsidRPr="004846DE">
        <w:rPr>
          <w:b/>
          <w:sz w:val="28"/>
          <w:szCs w:val="28"/>
        </w:rPr>
        <w:t xml:space="preserve">    </w:t>
      </w:r>
      <w:r w:rsidRPr="004846DE">
        <w:rPr>
          <w:b/>
          <w:bCs/>
          <w:sz w:val="28"/>
          <w:szCs w:val="28"/>
        </w:rPr>
        <w:t xml:space="preserve">                                         </w:t>
      </w:r>
    </w:p>
    <w:p w14:paraId="0B2B0ACC" w14:textId="77777777" w:rsidR="0073333D" w:rsidRPr="004846DE" w:rsidRDefault="0073333D" w:rsidP="007333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46DE">
        <w:rPr>
          <w:rFonts w:ascii="Times New Roman" w:hAnsi="Times New Roman"/>
          <w:b/>
          <w:bCs/>
          <w:sz w:val="28"/>
          <w:szCs w:val="28"/>
        </w:rPr>
        <w:t>JUDEŢUL VRANCEA</w:t>
      </w:r>
    </w:p>
    <w:p w14:paraId="0D49F740" w14:textId="77777777" w:rsidR="0073333D" w:rsidRDefault="0073333D" w:rsidP="007333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46DE">
        <w:rPr>
          <w:rFonts w:ascii="Times New Roman" w:hAnsi="Times New Roman"/>
          <w:b/>
          <w:bCs/>
          <w:sz w:val="28"/>
          <w:szCs w:val="28"/>
        </w:rPr>
        <w:t>CONSILIUL JUDEŢEAN</w:t>
      </w:r>
    </w:p>
    <w:p w14:paraId="699EFC22" w14:textId="77777777" w:rsidR="0073333D" w:rsidRPr="004846DE" w:rsidRDefault="0073333D" w:rsidP="007333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33B92CD" w14:textId="3AD0CF8D" w:rsidR="0073333D" w:rsidRPr="004846DE" w:rsidRDefault="0073333D" w:rsidP="0073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46DE">
        <w:rPr>
          <w:rFonts w:ascii="Times New Roman" w:hAnsi="Times New Roman"/>
          <w:b/>
          <w:bCs/>
          <w:sz w:val="28"/>
          <w:szCs w:val="28"/>
        </w:rPr>
        <w:t xml:space="preserve">HOTĂRÂREA nr. </w:t>
      </w:r>
      <w:r w:rsidR="00B55DA3">
        <w:rPr>
          <w:rFonts w:ascii="Times New Roman" w:hAnsi="Times New Roman"/>
          <w:b/>
          <w:bCs/>
          <w:sz w:val="28"/>
          <w:szCs w:val="28"/>
        </w:rPr>
        <w:t>127</w:t>
      </w:r>
    </w:p>
    <w:p w14:paraId="6F7B6BE8" w14:textId="5C8EBED6" w:rsidR="0073333D" w:rsidRDefault="0073333D" w:rsidP="0073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46DE">
        <w:rPr>
          <w:rFonts w:ascii="Times New Roman" w:hAnsi="Times New Roman"/>
          <w:b/>
          <w:bCs/>
          <w:sz w:val="28"/>
          <w:szCs w:val="28"/>
        </w:rPr>
        <w:t xml:space="preserve">din </w:t>
      </w:r>
      <w:r w:rsidR="00B55DA3">
        <w:rPr>
          <w:rFonts w:ascii="Times New Roman" w:hAnsi="Times New Roman"/>
          <w:b/>
          <w:bCs/>
          <w:sz w:val="28"/>
          <w:szCs w:val="28"/>
        </w:rPr>
        <w:t>16 iulie 2025</w:t>
      </w:r>
    </w:p>
    <w:p w14:paraId="6CE78E47" w14:textId="77777777" w:rsidR="0073333D" w:rsidRPr="004846DE" w:rsidRDefault="0073333D" w:rsidP="007333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A4A2252" w14:textId="77777777" w:rsidR="0073333D" w:rsidRDefault="0073333D" w:rsidP="00F22A0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4846DE">
        <w:rPr>
          <w:rFonts w:ascii="Times New Roman" w:hAnsi="Times New Roman"/>
          <w:b/>
          <w:bCs/>
          <w:sz w:val="28"/>
          <w:szCs w:val="28"/>
        </w:rPr>
        <w:t>privind:</w:t>
      </w:r>
      <w:bookmarkStart w:id="1" w:name="_Hlk164843320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" w:name="_Hlk164843017"/>
      <w:r>
        <w:rPr>
          <w:rFonts w:ascii="Times New Roman" w:hAnsi="Times New Roman" w:cs="Times New Roman"/>
          <w:sz w:val="28"/>
          <w:szCs w:val="28"/>
        </w:rPr>
        <w:t>transmiterea sectorului de drum județean 204 G, de la km 4+650 până la km 6+150, din administrarea Consiliului Județean Vrancea în administrarea Consiliului Local Biliești, județul Vrancea</w:t>
      </w:r>
    </w:p>
    <w:p w14:paraId="59136640" w14:textId="77777777" w:rsidR="0073333D" w:rsidRDefault="0073333D" w:rsidP="007333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468382" w14:textId="77777777" w:rsidR="0073333D" w:rsidRDefault="0073333D" w:rsidP="007333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Consiliul Județean Vrancea,</w:t>
      </w:r>
    </w:p>
    <w:p w14:paraId="6065B87B" w14:textId="5042FA9A" w:rsidR="0073333D" w:rsidRDefault="0073333D" w:rsidP="0073333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-având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FE0">
        <w:rPr>
          <w:rFonts w:ascii="Times New Roman" w:hAnsi="Times New Roman"/>
          <w:b/>
          <w:bCs/>
          <w:sz w:val="28"/>
          <w:szCs w:val="28"/>
        </w:rPr>
        <w:t>în vedere</w:t>
      </w:r>
      <w:r>
        <w:rPr>
          <w:rFonts w:ascii="Times New Roman" w:hAnsi="Times New Roman"/>
          <w:sz w:val="28"/>
          <w:szCs w:val="28"/>
        </w:rPr>
        <w:t xml:space="preserve"> referatul comun al Direcției Arhitect Șef, Serviciul Evidența Patrimoniului Public și Privat și a Direcției Tehnice și Investiții nr.</w:t>
      </w:r>
      <w:r w:rsidR="008021CD">
        <w:rPr>
          <w:rFonts w:ascii="Times New Roman" w:hAnsi="Times New Roman"/>
          <w:sz w:val="28"/>
          <w:szCs w:val="28"/>
        </w:rPr>
        <w:t xml:space="preserve"> 10582/19.06.2025.</w:t>
      </w:r>
    </w:p>
    <w:p w14:paraId="39632B03" w14:textId="77777777" w:rsidR="0073333D" w:rsidRDefault="0073333D" w:rsidP="0073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privind </w:t>
      </w:r>
      <w:r w:rsidRPr="004846DE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transmiterea sectorului de drum județean 204 G, de la km 4+650 până la km 6+150, din administrarea Consiliului Județean Vrancea în administrarea Consiliului Local Biliești, județul Vrancea;</w:t>
      </w:r>
    </w:p>
    <w:p w14:paraId="4427ECC7" w14:textId="77777777" w:rsidR="0073333D" w:rsidRDefault="0073333D" w:rsidP="0073333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1FE0">
        <w:rPr>
          <w:rFonts w:ascii="Times New Roman" w:hAnsi="Times New Roman"/>
          <w:b/>
          <w:bCs/>
          <w:sz w:val="28"/>
          <w:szCs w:val="28"/>
        </w:rPr>
        <w:t>ținând cont de</w:t>
      </w:r>
      <w:r w:rsidRPr="004846DE">
        <w:rPr>
          <w:rFonts w:ascii="Times New Roman" w:hAnsi="Times New Roman"/>
          <w:b/>
          <w:bCs/>
          <w:sz w:val="28"/>
          <w:szCs w:val="28"/>
        </w:rPr>
        <w:t>:</w:t>
      </w:r>
    </w:p>
    <w:p w14:paraId="4AB36A9B" w14:textId="77777777" w:rsidR="0073333D" w:rsidRDefault="0073333D" w:rsidP="0073333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-</w:t>
      </w:r>
      <w:r>
        <w:rPr>
          <w:rFonts w:ascii="Times New Roman" w:hAnsi="Times New Roman"/>
          <w:sz w:val="28"/>
          <w:szCs w:val="28"/>
        </w:rPr>
        <w:t xml:space="preserve">Hotărârea Consiliului Județean Vrancea nr. 90/2020 privind transmiterea din administrarea  </w:t>
      </w:r>
      <w:r>
        <w:rPr>
          <w:rFonts w:ascii="Times New Roman" w:eastAsia="Times New Roman" w:hAnsi="Times New Roman"/>
          <w:sz w:val="28"/>
          <w:szCs w:val="28"/>
          <w:lang w:eastAsia="ro-RO"/>
        </w:rPr>
        <w:t>U.A.T Județul Vrancea în administrarea U.A.T comuna Biliești a sectorului  de drum județean 204 G de la 6+050 până la 6+100, pe o perioadă de 4 luni pentru realizarea lucrărilor aferente ”Amenajare sens giratoriu cu scopul reglementării circulației pe DC 145 (str. Principală) în zonele cu intersecția 204 G (str. Livezii, str. Mare)”;</w:t>
      </w:r>
    </w:p>
    <w:p w14:paraId="600D8DC1" w14:textId="77777777" w:rsidR="0073333D" w:rsidRDefault="0073333D" w:rsidP="00733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/>
          <w:sz w:val="28"/>
          <w:szCs w:val="28"/>
          <w:lang w:eastAsia="ro-RO"/>
        </w:rPr>
        <w:t xml:space="preserve">             - Hotărârea Consiliului Județean Vrancea nr. 43/2022 privind aprobarea dării în administrare către Consiliul Local Biliești a sectorului de drum Județean 204 G, km 4+650-km 6+150, L=1,50 km, între intrare sat Biliești-Primăria Biliești (intersecția DC 145) în vederea finalizării lucrărilor;</w:t>
      </w:r>
    </w:p>
    <w:p w14:paraId="03040FF7" w14:textId="77777777" w:rsidR="0073333D" w:rsidRDefault="0073333D" w:rsidP="00733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/>
          <w:sz w:val="28"/>
          <w:szCs w:val="28"/>
          <w:lang w:eastAsia="ro-RO"/>
        </w:rPr>
        <w:t>-</w:t>
      </w:r>
      <w:r w:rsidRPr="00941FE0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văzând</w:t>
      </w:r>
      <w:r w:rsidRPr="00941FE0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o-RO"/>
        </w:rPr>
        <w:t>Hotărârea Consiliului Local al comunei Biliești nr. 43/11.04.2025 privind solicitarea transmiterii sectorului  de drum județean DJ 204 G, de la km 4+650 până la km 6+150, din administrarea Consiliului Județean Vrancea, în administrarea Consiliului Local al comunei Biliești, județul Vrancea;</w:t>
      </w:r>
    </w:p>
    <w:p w14:paraId="4DE52AF4" w14:textId="2B6CD621" w:rsidR="0073333D" w:rsidRPr="00CE1909" w:rsidRDefault="0073333D" w:rsidP="0073333D">
      <w:pPr>
        <w:spacing w:after="0" w:line="240" w:lineRule="auto"/>
        <w:ind w:left="90" w:right="36" w:hanging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o-RO"/>
        </w:rPr>
        <w:t>-</w:t>
      </w:r>
      <w:r w:rsidRPr="00D202B4">
        <w:rPr>
          <w:rFonts w:ascii="Times New Roman" w:hAnsi="Times New Roman"/>
          <w:b/>
          <w:bCs/>
          <w:sz w:val="28"/>
          <w:szCs w:val="28"/>
        </w:rPr>
        <w:t xml:space="preserve">având </w:t>
      </w:r>
      <w:r w:rsidR="00B55DA3">
        <w:rPr>
          <w:rFonts w:ascii="Times New Roman" w:hAnsi="Times New Roman"/>
          <w:b/>
          <w:bCs/>
          <w:sz w:val="28"/>
          <w:szCs w:val="28"/>
        </w:rPr>
        <w:t>î</w:t>
      </w:r>
      <w:r w:rsidRPr="00D202B4">
        <w:rPr>
          <w:rFonts w:ascii="Times New Roman" w:hAnsi="Times New Roman"/>
          <w:b/>
          <w:bCs/>
          <w:sz w:val="28"/>
          <w:szCs w:val="28"/>
        </w:rPr>
        <w:t>n vedere</w:t>
      </w:r>
      <w:r w:rsidRPr="00D202B4">
        <w:rPr>
          <w:rFonts w:ascii="Times New Roman" w:hAnsi="Times New Roman"/>
          <w:sz w:val="28"/>
          <w:szCs w:val="28"/>
        </w:rPr>
        <w:t xml:space="preserve"> dispozițiile art. 861 alin. 3 și art. 867 alin. 1 din Legea nr. 287/2009 privind Codul civil, republicat, cu modificările și completările ulterioare</w:t>
      </w:r>
      <w:r w:rsidRPr="00CE1909">
        <w:rPr>
          <w:rFonts w:ascii="Times New Roman" w:hAnsi="Times New Roman"/>
          <w:sz w:val="28"/>
          <w:szCs w:val="28"/>
        </w:rPr>
        <w:t>;</w:t>
      </w:r>
    </w:p>
    <w:p w14:paraId="7A436DC8" w14:textId="278B5035" w:rsidR="00675DE2" w:rsidRPr="00675DE2" w:rsidRDefault="0073333D" w:rsidP="00675DE2">
      <w:pPr>
        <w:spacing w:after="0" w:line="240" w:lineRule="auto"/>
        <w:ind w:left="90" w:right="36" w:hanging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64D1">
        <w:rPr>
          <w:rFonts w:ascii="Times New Roman" w:hAnsi="Times New Roman"/>
          <w:b/>
          <w:bCs/>
          <w:sz w:val="28"/>
          <w:szCs w:val="28"/>
        </w:rPr>
        <w:t>în conformitate</w:t>
      </w:r>
      <w:r>
        <w:rPr>
          <w:rFonts w:ascii="Times New Roman" w:hAnsi="Times New Roman"/>
          <w:sz w:val="28"/>
          <w:szCs w:val="28"/>
        </w:rPr>
        <w:t xml:space="preserve"> cu prevederile </w:t>
      </w:r>
      <w:proofErr w:type="spellStart"/>
      <w:r>
        <w:rPr>
          <w:rFonts w:ascii="Times New Roman" w:hAnsi="Times New Roman"/>
          <w:sz w:val="28"/>
          <w:szCs w:val="28"/>
        </w:rPr>
        <w:t>art</w:t>
      </w:r>
      <w:proofErr w:type="spellEnd"/>
      <w:r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alin. 3 din O.G. nr. 43/1997 privind regimul drumurilor, republicată, cu modificările și completările ulterioare;</w:t>
      </w:r>
    </w:p>
    <w:p w14:paraId="3033DCD7" w14:textId="16240173" w:rsidR="00675DE2" w:rsidRPr="00675DE2" w:rsidRDefault="00675DE2" w:rsidP="00675D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DE2">
        <w:rPr>
          <w:rFonts w:ascii="Times New Roman" w:hAnsi="Times New Roman" w:cs="Times New Roman"/>
          <w:bCs/>
          <w:sz w:val="28"/>
          <w:szCs w:val="28"/>
        </w:rPr>
        <w:t>-</w:t>
      </w:r>
      <w:r w:rsidRPr="00675DE2">
        <w:rPr>
          <w:rFonts w:ascii="Times New Roman" w:hAnsi="Times New Roman" w:cs="Times New Roman"/>
          <w:b/>
          <w:sz w:val="28"/>
          <w:szCs w:val="28"/>
        </w:rPr>
        <w:t xml:space="preserve"> luând act de</w:t>
      </w:r>
      <w:r w:rsidRPr="00675DE2">
        <w:rPr>
          <w:rFonts w:ascii="Times New Roman" w:hAnsi="Times New Roman" w:cs="Times New Roman"/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04370B67" w14:textId="77777777" w:rsidR="0073333D" w:rsidRPr="0071569E" w:rsidRDefault="0073333D" w:rsidP="00675DE2">
      <w:pPr>
        <w:spacing w:after="0" w:line="240" w:lineRule="auto"/>
        <w:ind w:left="90" w:right="36" w:hanging="90"/>
        <w:jc w:val="both"/>
        <w:rPr>
          <w:rFonts w:ascii="Times New Roman" w:hAnsi="Times New Roman"/>
          <w:sz w:val="28"/>
          <w:szCs w:val="28"/>
        </w:rPr>
      </w:pPr>
      <w:r w:rsidRPr="0071569E">
        <w:rPr>
          <w:rFonts w:ascii="Times New Roman" w:hAnsi="Times New Roman"/>
          <w:b/>
          <w:bCs/>
          <w:sz w:val="28"/>
          <w:szCs w:val="28"/>
        </w:rPr>
        <w:t>-în baza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art. 173 alin 4 lit. a) și </w:t>
      </w:r>
      <w:proofErr w:type="spellStart"/>
      <w:r>
        <w:rPr>
          <w:rFonts w:ascii="Times New Roman" w:hAnsi="Times New Roman"/>
          <w:sz w:val="28"/>
          <w:szCs w:val="28"/>
        </w:rPr>
        <w:t>art</w:t>
      </w:r>
      <w:proofErr w:type="spellEnd"/>
      <w:r>
        <w:rPr>
          <w:rFonts w:ascii="Times New Roman" w:hAnsi="Times New Roman"/>
          <w:sz w:val="28"/>
          <w:szCs w:val="28"/>
        </w:rPr>
        <w:t xml:space="preserve"> 299 din O.U.G nr. 57/2019 privind Codul Administrativ, cu modificările și completările ulterioare;</w:t>
      </w:r>
    </w:p>
    <w:bookmarkEnd w:id="0"/>
    <w:p w14:paraId="4EBD111C" w14:textId="77777777" w:rsidR="0073333D" w:rsidRDefault="0073333D" w:rsidP="00675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585B57">
        <w:rPr>
          <w:rFonts w:ascii="Times New Roman" w:hAnsi="Times New Roman"/>
          <w:b/>
          <w:bCs/>
          <w:sz w:val="28"/>
          <w:szCs w:val="28"/>
        </w:rPr>
        <w:t xml:space="preserve">-în temeiul </w:t>
      </w:r>
      <w:r w:rsidRPr="00585B57">
        <w:rPr>
          <w:rFonts w:ascii="Times New Roman" w:hAnsi="Times New Roman"/>
          <w:sz w:val="28"/>
          <w:szCs w:val="28"/>
        </w:rPr>
        <w:t>art. 196 alin.1 lit. a) din O.U.G nr. 57/2019 privind Codul Administrativ,</w:t>
      </w:r>
      <w:r w:rsidRPr="00CE1909">
        <w:rPr>
          <w:rFonts w:ascii="Times New Roman" w:hAnsi="Times New Roman"/>
          <w:sz w:val="28"/>
          <w:szCs w:val="28"/>
        </w:rPr>
        <w:t xml:space="preserve">  </w:t>
      </w:r>
      <w:r w:rsidRPr="00585B57">
        <w:rPr>
          <w:rFonts w:ascii="Times New Roman" w:hAnsi="Times New Roman"/>
          <w:sz w:val="28"/>
          <w:szCs w:val="28"/>
        </w:rPr>
        <w:t>cu modific</w:t>
      </w:r>
      <w:r>
        <w:rPr>
          <w:rFonts w:ascii="Times New Roman" w:hAnsi="Times New Roman"/>
          <w:sz w:val="28"/>
          <w:szCs w:val="28"/>
        </w:rPr>
        <w:t>ă</w:t>
      </w:r>
      <w:r w:rsidRPr="00585B57">
        <w:rPr>
          <w:rFonts w:ascii="Times New Roman" w:hAnsi="Times New Roman"/>
          <w:sz w:val="28"/>
          <w:szCs w:val="28"/>
        </w:rPr>
        <w:t>rile si complet</w:t>
      </w:r>
      <w:r>
        <w:rPr>
          <w:rFonts w:ascii="Times New Roman" w:hAnsi="Times New Roman"/>
          <w:sz w:val="28"/>
          <w:szCs w:val="28"/>
        </w:rPr>
        <w:t>ă</w:t>
      </w:r>
      <w:r w:rsidRPr="00585B57">
        <w:rPr>
          <w:rFonts w:ascii="Times New Roman" w:hAnsi="Times New Roman"/>
          <w:sz w:val="28"/>
          <w:szCs w:val="28"/>
        </w:rPr>
        <w:t>rile ulterioare,</w:t>
      </w:r>
    </w:p>
    <w:p w14:paraId="46463CD5" w14:textId="77777777" w:rsidR="0073333D" w:rsidRDefault="0073333D" w:rsidP="00675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E92F48" w14:textId="77777777" w:rsidR="00F22A08" w:rsidRDefault="00F22A08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069A5B" w14:textId="77777777" w:rsidR="00F22A08" w:rsidRDefault="00F22A08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37726" w14:textId="77777777" w:rsidR="00F22A08" w:rsidRDefault="00F22A08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B2095" w14:textId="77777777" w:rsidR="00F22A08" w:rsidRDefault="0073333D" w:rsidP="007333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0BB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</w:p>
    <w:p w14:paraId="0F98932B" w14:textId="0BC14806" w:rsidR="0073333D" w:rsidRDefault="00F22A08" w:rsidP="007333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="0073333D" w:rsidRPr="00770BB0">
        <w:rPr>
          <w:rFonts w:ascii="Times New Roman" w:hAnsi="Times New Roman"/>
          <w:b/>
          <w:bCs/>
          <w:sz w:val="28"/>
          <w:szCs w:val="28"/>
        </w:rPr>
        <w:t>HOTĂRĂȘTE:</w:t>
      </w:r>
    </w:p>
    <w:p w14:paraId="6B529FA7" w14:textId="77777777" w:rsidR="0073333D" w:rsidRDefault="0073333D" w:rsidP="007333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C3AB00" w14:textId="61DA6F68" w:rsidR="0073333D" w:rsidRDefault="0073333D" w:rsidP="0073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1 </w:t>
      </w:r>
      <w:r w:rsidRPr="00A735DC">
        <w:rPr>
          <w:rFonts w:ascii="Times New Roman" w:hAnsi="Times New Roman"/>
          <w:b/>
          <w:bCs/>
          <w:sz w:val="28"/>
          <w:szCs w:val="28"/>
        </w:rPr>
        <w:t>(1)</w:t>
      </w:r>
      <w:r w:rsidRPr="00116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Transmiterea sectorului de drum județean 204 G, de la km 4+650 până la km 6+150, din administrarea Consiliului Județean Vrancea în administrarea Consiliului Local Biliești, județul Vrancea, </w:t>
      </w:r>
      <w:r>
        <w:rPr>
          <w:rFonts w:ascii="Times New Roman" w:eastAsia="Times New Roman" w:hAnsi="Times New Roman"/>
          <w:sz w:val="28"/>
          <w:szCs w:val="28"/>
          <w:lang w:eastAsia="ro-RO"/>
        </w:rPr>
        <w:t>până la finalizarea lucrărilor și recepția finală</w:t>
      </w:r>
      <w:r>
        <w:rPr>
          <w:rFonts w:ascii="Times New Roman" w:hAnsi="Times New Roman" w:cs="Times New Roman"/>
          <w:sz w:val="28"/>
          <w:szCs w:val="28"/>
        </w:rPr>
        <w:t>, dar nu mai mult de 5 ani.</w:t>
      </w:r>
    </w:p>
    <w:p w14:paraId="7C83F70A" w14:textId="77777777" w:rsidR="0073333D" w:rsidRDefault="0073333D" w:rsidP="0073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DC">
        <w:rPr>
          <w:rFonts w:ascii="Times New Roman" w:hAnsi="Times New Roman" w:cs="Times New Roman"/>
          <w:b/>
          <w:bCs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 xml:space="preserve"> Orice alte intervenții asupra sectorului de drum județean vor fi făcute doar cu acordul Consiliului Județean Vrancea.</w:t>
      </w:r>
    </w:p>
    <w:p w14:paraId="6DA924E1" w14:textId="77777777" w:rsidR="0073333D" w:rsidRPr="004B0461" w:rsidRDefault="0073333D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B0">
        <w:rPr>
          <w:rFonts w:ascii="Times New Roman" w:hAnsi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4B0461">
        <w:rPr>
          <w:rFonts w:ascii="Times New Roman" w:hAnsi="Times New Roman"/>
          <w:sz w:val="28"/>
          <w:szCs w:val="28"/>
        </w:rPr>
        <w:t>Sectorul de drum județean prevăzut la art.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este inventariat în domeniul public al județului la poziția 13, situat în intravilanul comunei Biliești și este identificat potrivit anexei care face parte integrantă din prezenta hotărâre.</w:t>
      </w:r>
    </w:p>
    <w:p w14:paraId="0CF8BB76" w14:textId="77777777" w:rsidR="0073333D" w:rsidRDefault="0073333D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3 (1) </w:t>
      </w:r>
      <w:r w:rsidRPr="00FF4042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redarea-primirea </w:t>
      </w:r>
      <w:r>
        <w:rPr>
          <w:rFonts w:ascii="Times New Roman" w:hAnsi="Times New Roman" w:cs="Times New Roman"/>
          <w:sz w:val="28"/>
          <w:szCs w:val="28"/>
        </w:rPr>
        <w:t xml:space="preserve">sectorului de drum județean prevăzut la art. 1 se va face prin protocol, care va fi semnat </w:t>
      </w:r>
      <w:r>
        <w:rPr>
          <w:rFonts w:ascii="Times New Roman" w:hAnsi="Times New Roman"/>
          <w:sz w:val="28"/>
          <w:szCs w:val="28"/>
        </w:rPr>
        <w:t>în termen de 30 de zile de la data adoptării prezentei hotărâri, de Președintele Consiliului Județean Vrancea și Primarul Comunei Biliești, la valoarea de inventar de la momentul predării.</w:t>
      </w:r>
    </w:p>
    <w:p w14:paraId="3D3C4AC0" w14:textId="77777777" w:rsidR="0073333D" w:rsidRDefault="0073333D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B0461">
        <w:rPr>
          <w:rFonts w:ascii="Times New Roman" w:hAnsi="Times New Roman"/>
          <w:b/>
          <w:bCs/>
          <w:sz w:val="28"/>
          <w:szCs w:val="28"/>
        </w:rPr>
        <w:t>(2)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0461">
        <w:rPr>
          <w:rFonts w:ascii="Times New Roman" w:hAnsi="Times New Roman"/>
          <w:sz w:val="28"/>
          <w:szCs w:val="28"/>
        </w:rPr>
        <w:t>Evidența fi</w:t>
      </w:r>
      <w:r>
        <w:rPr>
          <w:rFonts w:ascii="Times New Roman" w:hAnsi="Times New Roman"/>
          <w:sz w:val="28"/>
          <w:szCs w:val="28"/>
        </w:rPr>
        <w:t>nanciar-contabilă a sectorului de drum județean împreună cu terenul aferent, prevăzut la art. 1 se ține distinct în contabilitate, potrivit legii, de către titularul dreptului de administrare.</w:t>
      </w:r>
    </w:p>
    <w:p w14:paraId="4D0C7A05" w14:textId="77777777" w:rsidR="0073333D" w:rsidRDefault="0073333D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98">
        <w:rPr>
          <w:rFonts w:ascii="Times New Roman" w:hAnsi="Times New Roman"/>
          <w:b/>
          <w:bCs/>
          <w:sz w:val="28"/>
          <w:szCs w:val="28"/>
        </w:rPr>
        <w:t xml:space="preserve">            (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2A0798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2F92">
        <w:rPr>
          <w:rFonts w:ascii="Times New Roman" w:hAnsi="Times New Roman"/>
          <w:sz w:val="28"/>
          <w:szCs w:val="28"/>
        </w:rPr>
        <w:t>Unitatea Administrativ Teritorială - Comuna Biliești are obligația aducerii la cunoștință Unității Administrativ-Teritorială Județul Vrancea a procesului verbal de recepție la terminarea lucrărilor</w:t>
      </w:r>
      <w:r>
        <w:rPr>
          <w:rFonts w:ascii="Times New Roman" w:hAnsi="Times New Roman"/>
          <w:sz w:val="28"/>
          <w:szCs w:val="28"/>
        </w:rPr>
        <w:t xml:space="preserve"> și la efectuarea recepției finale, în vederea adoptării unui act administrativ de retragere a administrării.</w:t>
      </w:r>
    </w:p>
    <w:p w14:paraId="72B1FC96" w14:textId="77777777" w:rsidR="0073333D" w:rsidRPr="00D05BA7" w:rsidRDefault="0073333D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BA7">
        <w:rPr>
          <w:rFonts w:ascii="Times New Roman" w:hAnsi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05B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Dreptul de administrare pentru sectorul de drum județean împreună cu terenul aferent, prevăzut la art. 1 va fi notat în cartea funciară de titularul dreptului de administrare.</w:t>
      </w:r>
    </w:p>
    <w:p w14:paraId="3134007A" w14:textId="77777777" w:rsidR="0073333D" w:rsidRPr="00D05BA7" w:rsidRDefault="0073333D" w:rsidP="0073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BA7">
        <w:rPr>
          <w:rFonts w:ascii="Times New Roman" w:hAnsi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La data intrării în vigoare a prezentei hotărâri, o</w:t>
      </w:r>
      <w:r w:rsidRPr="00D05BA7">
        <w:rPr>
          <w:rFonts w:ascii="Times New Roman" w:hAnsi="Times New Roman"/>
          <w:sz w:val="28"/>
          <w:szCs w:val="28"/>
        </w:rPr>
        <w:t>rice alt</w:t>
      </w:r>
      <w:r>
        <w:rPr>
          <w:rFonts w:ascii="Times New Roman" w:hAnsi="Times New Roman"/>
          <w:sz w:val="28"/>
          <w:szCs w:val="28"/>
        </w:rPr>
        <w:t>e</w:t>
      </w:r>
      <w:r w:rsidRPr="00D05BA7">
        <w:rPr>
          <w:rFonts w:ascii="Times New Roman" w:hAnsi="Times New Roman"/>
          <w:sz w:val="28"/>
          <w:szCs w:val="28"/>
        </w:rPr>
        <w:t xml:space="preserve"> preveder</w:t>
      </w:r>
      <w:r>
        <w:rPr>
          <w:rFonts w:ascii="Times New Roman" w:hAnsi="Times New Roman"/>
          <w:sz w:val="28"/>
          <w:szCs w:val="28"/>
        </w:rPr>
        <w:t>i</w:t>
      </w:r>
      <w:r w:rsidRPr="00D05BA7">
        <w:rPr>
          <w:rFonts w:ascii="Times New Roman" w:hAnsi="Times New Roman"/>
          <w:sz w:val="28"/>
          <w:szCs w:val="28"/>
        </w:rPr>
        <w:t xml:space="preserve"> contrar</w:t>
      </w:r>
      <w:r>
        <w:rPr>
          <w:rFonts w:ascii="Times New Roman" w:hAnsi="Times New Roman"/>
          <w:sz w:val="28"/>
          <w:szCs w:val="28"/>
        </w:rPr>
        <w:t>e</w:t>
      </w:r>
      <w:r w:rsidRPr="00D05BA7">
        <w:rPr>
          <w:rFonts w:ascii="Times New Roman" w:hAnsi="Times New Roman"/>
          <w:sz w:val="28"/>
          <w:szCs w:val="28"/>
        </w:rPr>
        <w:t xml:space="preserve"> își încetează aplicabilitatea.</w:t>
      </w:r>
    </w:p>
    <w:p w14:paraId="33031712" w14:textId="6D1A016B" w:rsidR="0073333D" w:rsidRDefault="0073333D" w:rsidP="00733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1EE4">
        <w:rPr>
          <w:rFonts w:ascii="Times New Roman" w:hAnsi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Pr="004846DE">
        <w:rPr>
          <w:rFonts w:ascii="Times New Roman" w:hAnsi="Times New Roman"/>
          <w:sz w:val="28"/>
          <w:szCs w:val="28"/>
        </w:rPr>
        <w:t xml:space="preserve">Prevederile prezentei hotărâri vor fi duse la îndeplinire de către </w:t>
      </w:r>
      <w:r>
        <w:rPr>
          <w:rFonts w:ascii="Times New Roman" w:hAnsi="Times New Roman"/>
          <w:sz w:val="28"/>
          <w:szCs w:val="28"/>
        </w:rPr>
        <w:t>p</w:t>
      </w:r>
      <w:r w:rsidRPr="004846DE">
        <w:rPr>
          <w:rFonts w:ascii="Times New Roman" w:hAnsi="Times New Roman"/>
          <w:sz w:val="28"/>
          <w:szCs w:val="28"/>
        </w:rPr>
        <w:t xml:space="preserve">reședintele </w:t>
      </w:r>
      <w:r>
        <w:rPr>
          <w:rFonts w:ascii="Times New Roman" w:hAnsi="Times New Roman"/>
          <w:sz w:val="28"/>
          <w:szCs w:val="28"/>
        </w:rPr>
        <w:t xml:space="preserve">consiliului județean </w:t>
      </w:r>
      <w:r w:rsidRPr="002053AE">
        <w:rPr>
          <w:rFonts w:ascii="Times New Roman" w:hAnsi="Times New Roman"/>
          <w:sz w:val="28"/>
          <w:szCs w:val="28"/>
        </w:rPr>
        <w:t xml:space="preserve"> </w:t>
      </w:r>
      <w:r w:rsidRPr="004846DE">
        <w:rPr>
          <w:rFonts w:ascii="Times New Roman" w:hAnsi="Times New Roman"/>
          <w:sz w:val="28"/>
          <w:szCs w:val="28"/>
        </w:rPr>
        <w:t xml:space="preserve">prin aparatul de specialitate </w:t>
      </w:r>
      <w:r>
        <w:rPr>
          <w:rFonts w:ascii="Times New Roman" w:hAnsi="Times New Roman"/>
          <w:sz w:val="28"/>
          <w:szCs w:val="28"/>
        </w:rPr>
        <w:t>ș</w:t>
      </w:r>
      <w:r w:rsidRPr="004846DE">
        <w:rPr>
          <w:rFonts w:ascii="Times New Roman" w:hAnsi="Times New Roman"/>
          <w:sz w:val="28"/>
          <w:szCs w:val="28"/>
        </w:rPr>
        <w:t xml:space="preserve">i vor fi comunicate celor interesați de secretarul general al județului prin Serviciul administrație publică, Monitor Oficial Local </w:t>
      </w:r>
      <w:r>
        <w:rPr>
          <w:rFonts w:ascii="Times New Roman" w:hAnsi="Times New Roman"/>
          <w:sz w:val="28"/>
          <w:szCs w:val="28"/>
        </w:rPr>
        <w:t>ș</w:t>
      </w:r>
      <w:r w:rsidRPr="004846DE">
        <w:rPr>
          <w:rFonts w:ascii="Times New Roman" w:hAnsi="Times New Roman"/>
          <w:sz w:val="28"/>
          <w:szCs w:val="28"/>
        </w:rPr>
        <w:t xml:space="preserve">i arhivă din cadrul Direcției </w:t>
      </w:r>
      <w:r w:rsidR="00A83B98">
        <w:rPr>
          <w:rFonts w:ascii="Times New Roman" w:hAnsi="Times New Roman"/>
          <w:sz w:val="28"/>
          <w:szCs w:val="28"/>
        </w:rPr>
        <w:t>j</w:t>
      </w:r>
      <w:r w:rsidRPr="004846DE">
        <w:rPr>
          <w:rFonts w:ascii="Times New Roman" w:hAnsi="Times New Roman"/>
          <w:sz w:val="28"/>
          <w:szCs w:val="28"/>
        </w:rPr>
        <w:t xml:space="preserve">uridice și </w:t>
      </w:r>
      <w:r w:rsidR="00A83B98">
        <w:rPr>
          <w:rFonts w:ascii="Times New Roman" w:hAnsi="Times New Roman"/>
          <w:sz w:val="28"/>
          <w:szCs w:val="28"/>
        </w:rPr>
        <w:t>a</w:t>
      </w:r>
      <w:r w:rsidRPr="004846DE">
        <w:rPr>
          <w:rFonts w:ascii="Times New Roman" w:hAnsi="Times New Roman"/>
          <w:sz w:val="28"/>
          <w:szCs w:val="28"/>
        </w:rPr>
        <w:t xml:space="preserve">dministrație </w:t>
      </w:r>
      <w:r w:rsidR="00A83B98">
        <w:rPr>
          <w:rFonts w:ascii="Times New Roman" w:hAnsi="Times New Roman"/>
          <w:sz w:val="28"/>
          <w:szCs w:val="28"/>
        </w:rPr>
        <w:t>p</w:t>
      </w:r>
      <w:r w:rsidRPr="004846DE">
        <w:rPr>
          <w:rFonts w:ascii="Times New Roman" w:hAnsi="Times New Roman"/>
          <w:sz w:val="28"/>
          <w:szCs w:val="28"/>
        </w:rPr>
        <w:t>ublică.</w:t>
      </w:r>
    </w:p>
    <w:p w14:paraId="1898E3B6" w14:textId="77777777" w:rsidR="0073333D" w:rsidRDefault="0073333D" w:rsidP="007333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C646C3F" w14:textId="77777777" w:rsidR="0073333D" w:rsidRPr="00231EE4" w:rsidRDefault="0073333D" w:rsidP="0073333D">
      <w:pPr>
        <w:pStyle w:val="Frspaiere"/>
      </w:pPr>
      <w:r>
        <w:t xml:space="preserve">                                                                          </w:t>
      </w:r>
      <w:r w:rsidRPr="00231EE4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73999063" w14:textId="77777777" w:rsidR="0073333D" w:rsidRPr="00231EE4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231E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Consiliului Județean Vrancea</w:t>
      </w:r>
    </w:p>
    <w:p w14:paraId="65452E8F" w14:textId="77777777" w:rsidR="0073333D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231EE4">
        <w:rPr>
          <w:rFonts w:ascii="Times New Roman" w:hAnsi="Times New Roman" w:cs="Times New Roman"/>
          <w:b/>
          <w:bCs/>
          <w:sz w:val="28"/>
          <w:szCs w:val="28"/>
        </w:rPr>
        <w:t>Nicușor HALICI</w:t>
      </w:r>
    </w:p>
    <w:p w14:paraId="2A1802E3" w14:textId="77777777" w:rsidR="0073333D" w:rsidRPr="00231EE4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7742" w14:textId="2F222A18" w:rsidR="0073333D" w:rsidRPr="00231EE4" w:rsidRDefault="0073333D" w:rsidP="00675DE2">
      <w:pPr>
        <w:pStyle w:val="Frspaiere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31EE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675DE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="00675DE2">
        <w:rPr>
          <w:rFonts w:ascii="Times New Roman" w:hAnsi="Times New Roman" w:cs="Times New Roman"/>
          <w:b/>
          <w:bCs/>
          <w:sz w:val="28"/>
          <w:szCs w:val="28"/>
        </w:rPr>
        <w:t>Contrasemenază</w:t>
      </w:r>
      <w:proofErr w:type="spellEnd"/>
      <w:r w:rsidR="00675DE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F73130B" w14:textId="176D19B8" w:rsidR="0073333D" w:rsidRPr="00231EE4" w:rsidRDefault="0073333D" w:rsidP="00675DE2">
      <w:pPr>
        <w:pStyle w:val="Frspaiere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231EE4">
        <w:rPr>
          <w:rFonts w:ascii="Times New Roman" w:hAnsi="Times New Roman" w:cs="Times New Roman"/>
          <w:b/>
          <w:bCs/>
          <w:sz w:val="28"/>
          <w:szCs w:val="28"/>
        </w:rPr>
        <w:t>Secretar general al județului</w:t>
      </w:r>
    </w:p>
    <w:p w14:paraId="6CAE4E68" w14:textId="5C19E654" w:rsidR="0073333D" w:rsidRDefault="0073333D" w:rsidP="007333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46D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4846DE">
        <w:rPr>
          <w:rFonts w:ascii="Times New Roman" w:hAnsi="Times New Roman"/>
          <w:b/>
          <w:bCs/>
          <w:sz w:val="28"/>
          <w:szCs w:val="28"/>
        </w:rPr>
        <w:t>Raluca Dan</w:t>
      </w:r>
    </w:p>
    <w:p w14:paraId="7602DB92" w14:textId="77777777" w:rsidR="0073333D" w:rsidRDefault="0073333D" w:rsidP="007333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6AE708A" w14:textId="77777777" w:rsidR="0073333D" w:rsidRDefault="0073333D" w:rsidP="007333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D204BC1" w14:textId="77777777" w:rsidR="0073333D" w:rsidRDefault="0073333D" w:rsidP="007333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B06FAFC" w14:textId="77777777" w:rsidR="0073333D" w:rsidRDefault="0073333D" w:rsidP="007333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37A82945" w14:textId="77777777" w:rsidR="0073333D" w:rsidRDefault="0073333D" w:rsidP="007333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234C4D8F" w14:textId="77777777" w:rsidR="0073333D" w:rsidRPr="00DC0920" w:rsidRDefault="0073333D" w:rsidP="007333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1481EEC" w14:textId="1F075208" w:rsidR="0073333D" w:rsidRPr="00DC0920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DC0920">
        <w:rPr>
          <w:rFonts w:ascii="Times New Roman" w:hAnsi="Times New Roman" w:cs="Times New Roman"/>
          <w:b/>
          <w:bCs/>
          <w:sz w:val="28"/>
          <w:szCs w:val="28"/>
        </w:rPr>
        <w:t xml:space="preserve">ROMÂNIA                     </w:t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</w:p>
    <w:p w14:paraId="06D71184" w14:textId="77777777" w:rsidR="0073333D" w:rsidRPr="00DC0920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DC0920">
        <w:rPr>
          <w:rFonts w:ascii="Times New Roman" w:hAnsi="Times New Roman" w:cs="Times New Roman"/>
          <w:b/>
          <w:bCs/>
          <w:sz w:val="28"/>
          <w:szCs w:val="28"/>
        </w:rPr>
        <w:t>JUDEŢUL VRANCEA</w:t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Anexa </w:t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092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5E5DC60" w14:textId="14594ED8" w:rsidR="0047706E" w:rsidRDefault="0073333D" w:rsidP="005D2AD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DC0920">
        <w:rPr>
          <w:rFonts w:ascii="Times New Roman" w:hAnsi="Times New Roman" w:cs="Times New Roman"/>
          <w:b/>
          <w:bCs/>
          <w:sz w:val="28"/>
          <w:szCs w:val="28"/>
        </w:rPr>
        <w:t xml:space="preserve">CONSILIUL  JUDEŢEAN                               la Hotărârea nr. </w:t>
      </w:r>
      <w:r w:rsidR="00B55DA3">
        <w:rPr>
          <w:rFonts w:ascii="Times New Roman" w:hAnsi="Times New Roman" w:cs="Times New Roman"/>
          <w:b/>
          <w:bCs/>
          <w:sz w:val="28"/>
          <w:szCs w:val="28"/>
        </w:rPr>
        <w:t>127 din 16</w:t>
      </w:r>
      <w:r w:rsidR="005D2AD6">
        <w:rPr>
          <w:rFonts w:ascii="Times New Roman" w:hAnsi="Times New Roman" w:cs="Times New Roman"/>
          <w:b/>
          <w:bCs/>
          <w:sz w:val="28"/>
          <w:szCs w:val="28"/>
        </w:rPr>
        <w:t>.07.2025</w:t>
      </w:r>
    </w:p>
    <w:p w14:paraId="05CCBDD3" w14:textId="77777777" w:rsidR="0047706E" w:rsidRPr="00675DE2" w:rsidRDefault="0047706E" w:rsidP="0073333D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2264D" w14:textId="1BE65A6C" w:rsidR="0073333D" w:rsidRPr="00675DE2" w:rsidRDefault="0073333D" w:rsidP="00675DE2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DE2">
        <w:rPr>
          <w:rFonts w:ascii="Times New Roman" w:hAnsi="Times New Roman" w:cs="Times New Roman"/>
          <w:b/>
          <w:bCs/>
          <w:sz w:val="28"/>
          <w:szCs w:val="28"/>
        </w:rPr>
        <w:t>Date de identificare a sectorului de drum județean 204 G care se transmite</w:t>
      </w:r>
      <w:r w:rsidR="0047706E" w:rsidRPr="00675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5DE2">
        <w:rPr>
          <w:rFonts w:ascii="Times New Roman" w:hAnsi="Times New Roman" w:cs="Times New Roman"/>
          <w:b/>
          <w:bCs/>
          <w:sz w:val="28"/>
          <w:szCs w:val="28"/>
        </w:rPr>
        <w:t xml:space="preserve">din </w:t>
      </w:r>
      <w:r w:rsidR="0047706E" w:rsidRPr="00675D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75DE2">
        <w:rPr>
          <w:rFonts w:ascii="Times New Roman" w:hAnsi="Times New Roman" w:cs="Times New Roman"/>
          <w:b/>
          <w:bCs/>
          <w:sz w:val="28"/>
          <w:szCs w:val="28"/>
        </w:rPr>
        <w:t>administrarea Consiliului Județean Vrancea în administrarea Consiliului Local Biliești</w:t>
      </w:r>
    </w:p>
    <w:p w14:paraId="10D43629" w14:textId="77777777" w:rsidR="0073333D" w:rsidRPr="00675DE2" w:rsidRDefault="0073333D" w:rsidP="007333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2E82BC" w14:textId="77777777" w:rsidR="0073333D" w:rsidRPr="00E148DD" w:rsidRDefault="0073333D" w:rsidP="0073333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25" w:type="dxa"/>
        <w:tblInd w:w="-24" w:type="dxa"/>
        <w:tblCellMar>
          <w:top w:w="9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023"/>
        <w:gridCol w:w="1220"/>
        <w:gridCol w:w="3077"/>
        <w:gridCol w:w="1133"/>
        <w:gridCol w:w="1130"/>
        <w:gridCol w:w="1932"/>
      </w:tblGrid>
      <w:tr w:rsidR="0073333D" w:rsidRPr="00E148DD" w14:paraId="283B2DF3" w14:textId="77777777" w:rsidTr="001A4CA9">
        <w:trPr>
          <w:trHeight w:val="879"/>
        </w:trPr>
        <w:tc>
          <w:tcPr>
            <w:tcW w:w="4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B5A36D8" w14:textId="77777777" w:rsidR="0073333D" w:rsidRPr="00881A93" w:rsidRDefault="0073333D" w:rsidP="001A4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Nr. </w:t>
            </w:r>
          </w:p>
          <w:p w14:paraId="7EF6E06B" w14:textId="77777777" w:rsidR="0073333D" w:rsidRPr="00881A93" w:rsidRDefault="0073333D" w:rsidP="001A4C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Crt. </w:t>
            </w:r>
          </w:p>
        </w:tc>
        <w:tc>
          <w:tcPr>
            <w:tcW w:w="9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0C750F" w14:textId="77777777" w:rsidR="0073333D" w:rsidRPr="00881A93" w:rsidRDefault="0073333D" w:rsidP="001A4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Cod  de </w:t>
            </w:r>
          </w:p>
          <w:p w14:paraId="58F3BAF5" w14:textId="77777777" w:rsidR="0073333D" w:rsidRPr="00881A93" w:rsidRDefault="0073333D" w:rsidP="001A4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clasificare </w:t>
            </w:r>
          </w:p>
        </w:tc>
        <w:tc>
          <w:tcPr>
            <w:tcW w:w="12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958222C" w14:textId="77777777" w:rsidR="0073333D" w:rsidRPr="00881A93" w:rsidRDefault="0073333D" w:rsidP="001A4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Denumirea bunului </w:t>
            </w:r>
          </w:p>
        </w:tc>
        <w:tc>
          <w:tcPr>
            <w:tcW w:w="3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523AB4D" w14:textId="77777777" w:rsidR="0073333D" w:rsidRPr="00881A93" w:rsidRDefault="0073333D" w:rsidP="001A4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Elemente de identificare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46FA774" w14:textId="77777777" w:rsidR="0073333D" w:rsidRPr="00881A93" w:rsidRDefault="0073333D" w:rsidP="001A4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Anul dobândirii sau după caz al dării în folosință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A77D7FE" w14:textId="77777777" w:rsidR="0073333D" w:rsidRDefault="0073333D" w:rsidP="001A4CA9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Valoarea de inventar</w:t>
            </w:r>
          </w:p>
          <w:p w14:paraId="12A616B9" w14:textId="77777777" w:rsidR="0073333D" w:rsidRPr="0025756C" w:rsidRDefault="0073333D" w:rsidP="001A4CA9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mii lei </w:t>
            </w:r>
          </w:p>
        </w:tc>
        <w:tc>
          <w:tcPr>
            <w:tcW w:w="195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8C27CD2" w14:textId="77777777" w:rsidR="0073333D" w:rsidRPr="00881A93" w:rsidRDefault="0073333D" w:rsidP="001A4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A9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Situația juridică actuală </w:t>
            </w:r>
          </w:p>
        </w:tc>
      </w:tr>
      <w:tr w:rsidR="0073333D" w:rsidRPr="00B5480A" w14:paraId="0DDFBCA6" w14:textId="77777777" w:rsidTr="001A4CA9">
        <w:trPr>
          <w:trHeight w:val="879"/>
        </w:trPr>
        <w:tc>
          <w:tcPr>
            <w:tcW w:w="4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15E9CD2" w14:textId="77777777" w:rsidR="0073333D" w:rsidRPr="00B5480A" w:rsidRDefault="0073333D" w:rsidP="001A4CA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480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5B2DA17" w14:textId="77777777" w:rsidR="0073333D" w:rsidRPr="00B5480A" w:rsidRDefault="0073333D" w:rsidP="001A4CA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48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1.3.7.</w:t>
            </w:r>
          </w:p>
        </w:tc>
        <w:tc>
          <w:tcPr>
            <w:tcW w:w="12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96567DE" w14:textId="77777777" w:rsidR="0073333D" w:rsidRPr="00B5480A" w:rsidRDefault="0073333D" w:rsidP="001A4CA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4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D.J.204 G </w:t>
            </w:r>
          </w:p>
        </w:tc>
        <w:tc>
          <w:tcPr>
            <w:tcW w:w="3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24E87E1" w14:textId="77777777" w:rsidR="0073333D" w:rsidRPr="00B5480A" w:rsidRDefault="0073333D" w:rsidP="001A4CA9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o-RO"/>
              </w:rPr>
            </w:pPr>
          </w:p>
          <w:p w14:paraId="39BF84D3" w14:textId="77777777" w:rsidR="0073333D" w:rsidRPr="00B5480A" w:rsidRDefault="0073333D" w:rsidP="001A4CA9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o-RO"/>
              </w:rPr>
            </w:pPr>
          </w:p>
          <w:p w14:paraId="03577470" w14:textId="77777777" w:rsidR="0073333D" w:rsidRPr="00B5480A" w:rsidRDefault="0073333D" w:rsidP="001A4CA9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o-RO"/>
              </w:rPr>
            </w:pPr>
          </w:p>
          <w:p w14:paraId="4D1AA1BC" w14:textId="77777777" w:rsidR="0073333D" w:rsidRPr="00B5480A" w:rsidRDefault="0073333D" w:rsidP="001A4CA9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o-RO"/>
              </w:rPr>
            </w:pPr>
          </w:p>
          <w:p w14:paraId="11BB9A38" w14:textId="77777777" w:rsidR="0073333D" w:rsidRPr="00B5480A" w:rsidRDefault="0073333D" w:rsidP="001A4CA9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ro-RO"/>
              </w:rPr>
            </w:pPr>
            <w:r w:rsidRPr="00B5480A">
              <w:rPr>
                <w:b/>
                <w:sz w:val="20"/>
                <w:szCs w:val="20"/>
                <w:lang w:val="ro-RO"/>
              </w:rPr>
              <w:t xml:space="preserve">UAT BILIEȘTI </w:t>
            </w:r>
          </w:p>
          <w:p w14:paraId="6517FF8D" w14:textId="77777777" w:rsidR="0073333D" w:rsidRPr="00B5480A" w:rsidRDefault="0073333D" w:rsidP="001A4CA9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o-RO"/>
              </w:rPr>
            </w:pPr>
          </w:p>
          <w:p w14:paraId="64B3C0AD" w14:textId="77777777" w:rsidR="0073333D" w:rsidRPr="00B5480A" w:rsidRDefault="0073333D" w:rsidP="001A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B548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>-suprafață teren 5287 mp intravilan, tarla 0, parcelă 1873, număr cadastral 51810;</w:t>
            </w:r>
          </w:p>
          <w:p w14:paraId="5EF3A1BC" w14:textId="77777777" w:rsidR="0073333D" w:rsidRPr="00B5480A" w:rsidRDefault="0073333D" w:rsidP="001A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</w:pPr>
          </w:p>
          <w:p w14:paraId="439090EC" w14:textId="77777777" w:rsidR="0073333D" w:rsidRPr="00B5480A" w:rsidRDefault="0073333D" w:rsidP="001A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B548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>-</w:t>
            </w:r>
            <w:proofErr w:type="spellStart"/>
            <w:r w:rsidRPr="00B548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>surafață</w:t>
            </w:r>
            <w:proofErr w:type="spellEnd"/>
            <w:r w:rsidRPr="00B548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 xml:space="preserve"> teren 1251 mp, intravilan, tarla 0, parcelă 1873, număr cadastral 51813;</w:t>
            </w:r>
          </w:p>
          <w:p w14:paraId="1C148F98" w14:textId="77777777" w:rsidR="0073333D" w:rsidRPr="00B5480A" w:rsidRDefault="0073333D" w:rsidP="001A4CA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BD5763C" w14:textId="77777777" w:rsidR="0073333D" w:rsidRPr="00B5480A" w:rsidRDefault="0073333D" w:rsidP="001A4C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25C898" w14:textId="77777777" w:rsidR="0073333D" w:rsidRPr="00B5480A" w:rsidRDefault="0073333D" w:rsidP="001A4C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80A">
              <w:rPr>
                <w:rFonts w:ascii="Times New Roman" w:hAnsi="Times New Roman" w:cs="Times New Roman"/>
                <w:bCs/>
                <w:sz w:val="20"/>
                <w:szCs w:val="20"/>
              </w:rPr>
              <w:t>1968</w:t>
            </w:r>
          </w:p>
          <w:p w14:paraId="6F8D3F2A" w14:textId="77777777" w:rsidR="0073333D" w:rsidRPr="00B5480A" w:rsidRDefault="0073333D" w:rsidP="001A4CA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8BD2732" w14:textId="77777777" w:rsidR="0073333D" w:rsidRPr="00B5480A" w:rsidRDefault="0073333D" w:rsidP="001A4CA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480A">
              <w:rPr>
                <w:rFonts w:ascii="Times New Roman" w:hAnsi="Times New Roman" w:cs="Times New Roman"/>
                <w:bCs/>
                <w:sz w:val="20"/>
                <w:szCs w:val="20"/>
              </w:rPr>
              <w:t>389,006</w:t>
            </w:r>
          </w:p>
        </w:tc>
        <w:tc>
          <w:tcPr>
            <w:tcW w:w="195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B95633C" w14:textId="77777777" w:rsidR="0073333D" w:rsidRPr="00B5480A" w:rsidRDefault="0073333D" w:rsidP="001A4CA9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  <w:lang w:val="ro-RO"/>
              </w:rPr>
            </w:pPr>
            <w:r w:rsidRPr="00B5480A">
              <w:rPr>
                <w:bCs/>
                <w:sz w:val="18"/>
                <w:szCs w:val="18"/>
                <w:lang w:val="ro-RO"/>
              </w:rPr>
              <w:t xml:space="preserve">Domeniul public al </w:t>
            </w:r>
            <w:proofErr w:type="spellStart"/>
            <w:r w:rsidRPr="00B5480A">
              <w:rPr>
                <w:bCs/>
                <w:sz w:val="18"/>
                <w:szCs w:val="18"/>
                <w:lang w:val="ro-RO"/>
              </w:rPr>
              <w:t>judeţului</w:t>
            </w:r>
            <w:proofErr w:type="spellEnd"/>
            <w:r w:rsidRPr="00B5480A">
              <w:rPr>
                <w:bCs/>
                <w:sz w:val="18"/>
                <w:szCs w:val="18"/>
                <w:lang w:val="ro-RO"/>
              </w:rPr>
              <w:t xml:space="preserve"> Vrancea potrivit Hotărârii Consiliului Județean Vrancea nr. 19 din 25 ianuarie 2022, Hotărârii Consiliului Județean nr. 3/2010, Hotărârea Guvernului nr. 630/2010 </w:t>
            </w:r>
            <w:proofErr w:type="spellStart"/>
            <w:r w:rsidRPr="00B5480A">
              <w:rPr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5480A">
              <w:rPr>
                <w:bCs/>
                <w:sz w:val="18"/>
                <w:szCs w:val="18"/>
                <w:lang w:val="ro-RO"/>
              </w:rPr>
              <w:t xml:space="preserve"> Anexei nr. 2 la Hotărârea Guvernului nr. 540/2000</w:t>
            </w:r>
          </w:p>
          <w:p w14:paraId="1D0CC5DF" w14:textId="77777777" w:rsidR="0073333D" w:rsidRPr="00B5480A" w:rsidRDefault="0073333D" w:rsidP="001A4CA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5480A">
              <w:rPr>
                <w:rFonts w:ascii="Times New Roman" w:eastAsia="Arial" w:hAnsi="Times New Roman" w:cs="Times New Roman"/>
                <w:sz w:val="20"/>
                <w:szCs w:val="20"/>
              </w:rPr>
              <w:t>Nr.carte</w:t>
            </w:r>
            <w:proofErr w:type="spellEnd"/>
            <w:r w:rsidRPr="00B548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funciară 51810, 51813</w:t>
            </w:r>
          </w:p>
          <w:p w14:paraId="0E0FC405" w14:textId="77777777" w:rsidR="0073333D" w:rsidRPr="00B5480A" w:rsidRDefault="0073333D" w:rsidP="001A4CA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480A">
              <w:rPr>
                <w:rFonts w:ascii="Times New Roman" w:eastAsia="Arial" w:hAnsi="Times New Roman" w:cs="Times New Roman"/>
                <w:sz w:val="20"/>
                <w:szCs w:val="20"/>
              </w:rPr>
              <w:t>UAT BILIEȘTI</w:t>
            </w:r>
          </w:p>
        </w:tc>
      </w:tr>
    </w:tbl>
    <w:p w14:paraId="5B54F50F" w14:textId="77777777" w:rsidR="0073333D" w:rsidRPr="00B5480A" w:rsidRDefault="0073333D" w:rsidP="007333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54A2899" w14:textId="77777777" w:rsidR="0073333D" w:rsidRPr="00B5480A" w:rsidRDefault="0073333D" w:rsidP="0073333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690461DA" w14:textId="77777777" w:rsidR="0073333D" w:rsidRPr="00B5480A" w:rsidRDefault="0073333D" w:rsidP="007333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2AD417" w14:textId="77777777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B548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proofErr w:type="spellStart"/>
      <w:r w:rsidRPr="00B5480A">
        <w:rPr>
          <w:rFonts w:ascii="Times New Roman" w:hAnsi="Times New Roman" w:cs="Times New Roman"/>
          <w:b/>
          <w:bCs/>
          <w:sz w:val="28"/>
          <w:szCs w:val="28"/>
        </w:rPr>
        <w:t>Preşedintele</w:t>
      </w:r>
      <w:proofErr w:type="spellEnd"/>
    </w:p>
    <w:p w14:paraId="4E1765C6" w14:textId="77777777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B548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Consiliului </w:t>
      </w:r>
      <w:proofErr w:type="spellStart"/>
      <w:r w:rsidRPr="00B5480A">
        <w:rPr>
          <w:rFonts w:ascii="Times New Roman" w:hAnsi="Times New Roman" w:cs="Times New Roman"/>
          <w:b/>
          <w:bCs/>
          <w:sz w:val="28"/>
          <w:szCs w:val="28"/>
        </w:rPr>
        <w:t>Judeţean</w:t>
      </w:r>
      <w:proofErr w:type="spellEnd"/>
      <w:r w:rsidRPr="00B5480A">
        <w:rPr>
          <w:rFonts w:ascii="Times New Roman" w:hAnsi="Times New Roman" w:cs="Times New Roman"/>
          <w:b/>
          <w:bCs/>
          <w:sz w:val="28"/>
          <w:szCs w:val="28"/>
        </w:rPr>
        <w:t xml:space="preserve"> Vrancea</w:t>
      </w:r>
    </w:p>
    <w:p w14:paraId="72A83A96" w14:textId="53871311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B548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Nicușor HALICI</w:t>
      </w:r>
    </w:p>
    <w:p w14:paraId="3ADC8EA5" w14:textId="77777777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9170D" w14:textId="77777777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60FAA" w14:textId="77777777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39A3D" w14:textId="61E2AB29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B548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675DE2">
        <w:rPr>
          <w:rFonts w:ascii="Times New Roman" w:hAnsi="Times New Roman" w:cs="Times New Roman"/>
          <w:b/>
          <w:bCs/>
          <w:sz w:val="28"/>
          <w:szCs w:val="28"/>
        </w:rPr>
        <w:t>Contrasem</w:t>
      </w:r>
      <w:r w:rsidR="00D5204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675DE2">
        <w:rPr>
          <w:rFonts w:ascii="Times New Roman" w:hAnsi="Times New Roman" w:cs="Times New Roman"/>
          <w:b/>
          <w:bCs/>
          <w:sz w:val="28"/>
          <w:szCs w:val="28"/>
        </w:rPr>
        <w:t>ează</w:t>
      </w:r>
      <w:r w:rsidRPr="00B5480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9E0F9D1" w14:textId="77777777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B548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Secretar general al </w:t>
      </w:r>
      <w:proofErr w:type="spellStart"/>
      <w:r w:rsidRPr="00B5480A">
        <w:rPr>
          <w:rFonts w:ascii="Times New Roman" w:hAnsi="Times New Roman" w:cs="Times New Roman"/>
          <w:b/>
          <w:bCs/>
          <w:sz w:val="28"/>
          <w:szCs w:val="28"/>
        </w:rPr>
        <w:t>judeţului</w:t>
      </w:r>
      <w:proofErr w:type="spellEnd"/>
    </w:p>
    <w:p w14:paraId="06DC90BC" w14:textId="77777777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54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80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</w:t>
      </w:r>
      <w:r w:rsidRPr="00B5480A">
        <w:rPr>
          <w:rFonts w:ascii="Times New Roman" w:hAnsi="Times New Roman" w:cs="Times New Roman"/>
          <w:b/>
          <w:bCs/>
          <w:sz w:val="28"/>
          <w:szCs w:val="28"/>
          <w:lang w:val="it-IT"/>
        </w:rPr>
        <w:t>Raluca  Dan</w:t>
      </w:r>
    </w:p>
    <w:p w14:paraId="56A92C8D" w14:textId="77777777" w:rsidR="0073333D" w:rsidRPr="00B5480A" w:rsidRDefault="0073333D" w:rsidP="0073333D">
      <w:pPr>
        <w:pStyle w:val="Frspaiere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A4723F3" w14:textId="77777777" w:rsidR="001A4238" w:rsidRPr="00B5480A" w:rsidRDefault="001A4238" w:rsidP="00DE0793">
      <w:pPr>
        <w:pStyle w:val="Frspaiere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F519567" w14:textId="77777777" w:rsidR="0073333D" w:rsidRDefault="0073333D" w:rsidP="0073333D">
      <w:pPr>
        <w:pStyle w:val="Indentcorptext"/>
        <w:ind w:firstLine="0"/>
        <w:jc w:val="both"/>
        <w:rPr>
          <w:b/>
          <w:bCs/>
          <w:sz w:val="28"/>
          <w:szCs w:val="28"/>
        </w:rPr>
      </w:pPr>
    </w:p>
    <w:sectPr w:rsidR="0073333D" w:rsidSect="00F22A08">
      <w:pgSz w:w="11907" w:h="16840" w:code="9"/>
      <w:pgMar w:top="567" w:right="992" w:bottom="709" w:left="1276" w:header="357" w:footer="13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11996"/>
    <w:multiLevelType w:val="hybridMultilevel"/>
    <w:tmpl w:val="70D059D6"/>
    <w:lvl w:ilvl="0" w:tplc="29FC1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540D"/>
    <w:multiLevelType w:val="hybridMultilevel"/>
    <w:tmpl w:val="999A47DE"/>
    <w:lvl w:ilvl="0" w:tplc="E3EA3E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0560">
    <w:abstractNumId w:val="1"/>
  </w:num>
  <w:num w:numId="2" w16cid:durableId="22750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CF"/>
    <w:rsid w:val="0003076E"/>
    <w:rsid w:val="00044325"/>
    <w:rsid w:val="00054029"/>
    <w:rsid w:val="00055B3F"/>
    <w:rsid w:val="00057123"/>
    <w:rsid w:val="00074E9E"/>
    <w:rsid w:val="00087BC1"/>
    <w:rsid w:val="000C2D90"/>
    <w:rsid w:val="000E2A3D"/>
    <w:rsid w:val="000F0A6D"/>
    <w:rsid w:val="0011602A"/>
    <w:rsid w:val="00116302"/>
    <w:rsid w:val="00150C03"/>
    <w:rsid w:val="00153021"/>
    <w:rsid w:val="001537B0"/>
    <w:rsid w:val="001770B1"/>
    <w:rsid w:val="00182186"/>
    <w:rsid w:val="00192594"/>
    <w:rsid w:val="0019588B"/>
    <w:rsid w:val="001A4238"/>
    <w:rsid w:val="001A4C05"/>
    <w:rsid w:val="001B055D"/>
    <w:rsid w:val="001D2AA1"/>
    <w:rsid w:val="001F14FC"/>
    <w:rsid w:val="00213F68"/>
    <w:rsid w:val="00226459"/>
    <w:rsid w:val="0023178B"/>
    <w:rsid w:val="00231EE4"/>
    <w:rsid w:val="002519E0"/>
    <w:rsid w:val="00255131"/>
    <w:rsid w:val="00257188"/>
    <w:rsid w:val="0025756C"/>
    <w:rsid w:val="002A029A"/>
    <w:rsid w:val="002A0798"/>
    <w:rsid w:val="002C0837"/>
    <w:rsid w:val="002C2D32"/>
    <w:rsid w:val="002C6E18"/>
    <w:rsid w:val="002D2B7C"/>
    <w:rsid w:val="002E6576"/>
    <w:rsid w:val="00302205"/>
    <w:rsid w:val="00350169"/>
    <w:rsid w:val="00356884"/>
    <w:rsid w:val="00377BE6"/>
    <w:rsid w:val="003A484F"/>
    <w:rsid w:val="003A6995"/>
    <w:rsid w:val="003A6FD3"/>
    <w:rsid w:val="003C39BD"/>
    <w:rsid w:val="003C3CE1"/>
    <w:rsid w:val="003C7C22"/>
    <w:rsid w:val="003C7C33"/>
    <w:rsid w:val="003E6D99"/>
    <w:rsid w:val="00400FAD"/>
    <w:rsid w:val="00410686"/>
    <w:rsid w:val="00416D9C"/>
    <w:rsid w:val="00430FCE"/>
    <w:rsid w:val="00434CC3"/>
    <w:rsid w:val="00444507"/>
    <w:rsid w:val="0044716D"/>
    <w:rsid w:val="0047706E"/>
    <w:rsid w:val="00494506"/>
    <w:rsid w:val="004B0461"/>
    <w:rsid w:val="004B30F1"/>
    <w:rsid w:val="004B421C"/>
    <w:rsid w:val="005030FC"/>
    <w:rsid w:val="00546760"/>
    <w:rsid w:val="005700D8"/>
    <w:rsid w:val="005822C3"/>
    <w:rsid w:val="005D2AD6"/>
    <w:rsid w:val="005D7C23"/>
    <w:rsid w:val="005E07B4"/>
    <w:rsid w:val="005E114E"/>
    <w:rsid w:val="005E33FE"/>
    <w:rsid w:val="005F26C4"/>
    <w:rsid w:val="005F643B"/>
    <w:rsid w:val="0066075E"/>
    <w:rsid w:val="00661350"/>
    <w:rsid w:val="00665B2A"/>
    <w:rsid w:val="00667A89"/>
    <w:rsid w:val="00674272"/>
    <w:rsid w:val="00675DE2"/>
    <w:rsid w:val="006837B4"/>
    <w:rsid w:val="0068790D"/>
    <w:rsid w:val="006B021D"/>
    <w:rsid w:val="006D53C3"/>
    <w:rsid w:val="00710FC6"/>
    <w:rsid w:val="00716FB1"/>
    <w:rsid w:val="00724F3E"/>
    <w:rsid w:val="0073333D"/>
    <w:rsid w:val="00770BB0"/>
    <w:rsid w:val="0078102A"/>
    <w:rsid w:val="00784E98"/>
    <w:rsid w:val="00795546"/>
    <w:rsid w:val="007A3DC9"/>
    <w:rsid w:val="008002B9"/>
    <w:rsid w:val="008021CD"/>
    <w:rsid w:val="00807669"/>
    <w:rsid w:val="00807D3E"/>
    <w:rsid w:val="00856804"/>
    <w:rsid w:val="00880932"/>
    <w:rsid w:val="00881A93"/>
    <w:rsid w:val="008E11CF"/>
    <w:rsid w:val="008E3572"/>
    <w:rsid w:val="008E4C2E"/>
    <w:rsid w:val="009213E2"/>
    <w:rsid w:val="009249F6"/>
    <w:rsid w:val="00941FE0"/>
    <w:rsid w:val="0098497C"/>
    <w:rsid w:val="00986B95"/>
    <w:rsid w:val="00994301"/>
    <w:rsid w:val="009C53E4"/>
    <w:rsid w:val="009D5B2D"/>
    <w:rsid w:val="009E0F51"/>
    <w:rsid w:val="00A11053"/>
    <w:rsid w:val="00A1637C"/>
    <w:rsid w:val="00A341E1"/>
    <w:rsid w:val="00A4217D"/>
    <w:rsid w:val="00A67139"/>
    <w:rsid w:val="00A735DC"/>
    <w:rsid w:val="00A74CD0"/>
    <w:rsid w:val="00A83B98"/>
    <w:rsid w:val="00AA749F"/>
    <w:rsid w:val="00AB3495"/>
    <w:rsid w:val="00AB505F"/>
    <w:rsid w:val="00AC14B3"/>
    <w:rsid w:val="00AC35B0"/>
    <w:rsid w:val="00AD4216"/>
    <w:rsid w:val="00AE4F2F"/>
    <w:rsid w:val="00B07EEB"/>
    <w:rsid w:val="00B3329D"/>
    <w:rsid w:val="00B5330F"/>
    <w:rsid w:val="00B5480A"/>
    <w:rsid w:val="00B55DA3"/>
    <w:rsid w:val="00B55E5E"/>
    <w:rsid w:val="00B6361E"/>
    <w:rsid w:val="00B941C8"/>
    <w:rsid w:val="00B978E3"/>
    <w:rsid w:val="00BB47B0"/>
    <w:rsid w:val="00BF1CE2"/>
    <w:rsid w:val="00C1074D"/>
    <w:rsid w:val="00C139D9"/>
    <w:rsid w:val="00C16AF8"/>
    <w:rsid w:val="00C215B4"/>
    <w:rsid w:val="00C2531A"/>
    <w:rsid w:val="00C46D1D"/>
    <w:rsid w:val="00C53850"/>
    <w:rsid w:val="00C95B26"/>
    <w:rsid w:val="00CB1D69"/>
    <w:rsid w:val="00CB348F"/>
    <w:rsid w:val="00CB49D9"/>
    <w:rsid w:val="00CB4E1C"/>
    <w:rsid w:val="00CF2127"/>
    <w:rsid w:val="00D05BA7"/>
    <w:rsid w:val="00D115C9"/>
    <w:rsid w:val="00D175A4"/>
    <w:rsid w:val="00D41994"/>
    <w:rsid w:val="00D43ADF"/>
    <w:rsid w:val="00D5204D"/>
    <w:rsid w:val="00D72F46"/>
    <w:rsid w:val="00D72F92"/>
    <w:rsid w:val="00D8501B"/>
    <w:rsid w:val="00D92237"/>
    <w:rsid w:val="00DC0920"/>
    <w:rsid w:val="00DC3D41"/>
    <w:rsid w:val="00DD5201"/>
    <w:rsid w:val="00DE045E"/>
    <w:rsid w:val="00DE0793"/>
    <w:rsid w:val="00DF474B"/>
    <w:rsid w:val="00E001A1"/>
    <w:rsid w:val="00E13E9F"/>
    <w:rsid w:val="00E148DD"/>
    <w:rsid w:val="00E21C05"/>
    <w:rsid w:val="00E550BD"/>
    <w:rsid w:val="00E552F4"/>
    <w:rsid w:val="00E62BFB"/>
    <w:rsid w:val="00E85C9F"/>
    <w:rsid w:val="00EB25E0"/>
    <w:rsid w:val="00EB591F"/>
    <w:rsid w:val="00EC58AF"/>
    <w:rsid w:val="00EF4F35"/>
    <w:rsid w:val="00EF72EF"/>
    <w:rsid w:val="00F06D12"/>
    <w:rsid w:val="00F11872"/>
    <w:rsid w:val="00F22A08"/>
    <w:rsid w:val="00F43514"/>
    <w:rsid w:val="00F51906"/>
    <w:rsid w:val="00F53F3C"/>
    <w:rsid w:val="00F55161"/>
    <w:rsid w:val="00F652F1"/>
    <w:rsid w:val="00F66502"/>
    <w:rsid w:val="00F806AD"/>
    <w:rsid w:val="00F80957"/>
    <w:rsid w:val="00FA351D"/>
    <w:rsid w:val="00FB033C"/>
    <w:rsid w:val="00FB4E54"/>
    <w:rsid w:val="00FD2826"/>
    <w:rsid w:val="00FD6883"/>
    <w:rsid w:val="00FD76B8"/>
    <w:rsid w:val="00FE43BB"/>
    <w:rsid w:val="00FF4042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EFE3"/>
  <w15:chartTrackingRefBased/>
  <w15:docId w15:val="{C6292EEC-B6D9-487A-87A2-534545AE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E1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E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E1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E1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E1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E1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E1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E1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E1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E1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E1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E1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E11C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E11C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E11C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E11C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E11C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E11C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E1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E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E1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E1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E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E11C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E11C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E11C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E1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E11C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E11CF"/>
    <w:rPr>
      <w:b/>
      <w:bCs/>
      <w:smallCaps/>
      <w:color w:val="0F4761" w:themeColor="accent1" w:themeShade="BF"/>
      <w:spacing w:val="5"/>
    </w:rPr>
  </w:style>
  <w:style w:type="paragraph" w:styleId="Indentcorptext">
    <w:name w:val="Body Text Indent"/>
    <w:basedOn w:val="Normal"/>
    <w:link w:val="IndentcorptextCaracter"/>
    <w:rsid w:val="008E11CF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IndentcorptextCaracter">
    <w:name w:val="Indent corp text Caracter"/>
    <w:basedOn w:val="Fontdeparagrafimplicit"/>
    <w:link w:val="Indentcorptext"/>
    <w:rsid w:val="008E11CF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31EE4"/>
    <w:pPr>
      <w:spacing w:after="0" w:line="240" w:lineRule="auto"/>
    </w:pPr>
  </w:style>
  <w:style w:type="paragraph" w:customStyle="1" w:styleId="CharCharCharCharCharCharCharCaracterCharCharCaracter">
    <w:name w:val="Char Char Char Char Char Char Char Caracter Char Char Caracter"/>
    <w:basedOn w:val="Normal"/>
    <w:rsid w:val="00710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pl-PL" w:eastAsia="pl-PL"/>
      <w14:ligatures w14:val="none"/>
    </w:rPr>
  </w:style>
  <w:style w:type="paragraph" w:styleId="NormalWeb">
    <w:name w:val="Normal (Web)"/>
    <w:basedOn w:val="Normal"/>
    <w:uiPriority w:val="99"/>
    <w:unhideWhenUsed/>
    <w:rsid w:val="00E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8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Croitoru  Valerica</dc:creator>
  <cp:keywords/>
  <dc:description/>
  <cp:lastModifiedBy>Rali Veronica</cp:lastModifiedBy>
  <cp:revision>22</cp:revision>
  <cp:lastPrinted>2025-06-16T05:35:00Z</cp:lastPrinted>
  <dcterms:created xsi:type="dcterms:W3CDTF">2025-06-23T07:10:00Z</dcterms:created>
  <dcterms:modified xsi:type="dcterms:W3CDTF">2025-07-14T11:17:00Z</dcterms:modified>
</cp:coreProperties>
</file>