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6BCB1" w14:textId="249E0BCB" w:rsidR="00A706B3" w:rsidRPr="00211544" w:rsidRDefault="00211544" w:rsidP="00211544">
      <w:pPr>
        <w:jc w:val="center"/>
        <w:rPr>
          <w:b/>
          <w:bCs/>
          <w:sz w:val="32"/>
          <w:szCs w:val="32"/>
        </w:rPr>
      </w:pPr>
      <w:r w:rsidRPr="00211544">
        <w:rPr>
          <w:b/>
          <w:bCs/>
          <w:sz w:val="32"/>
          <w:szCs w:val="32"/>
        </w:rPr>
        <w:t>Instrucțiuni pentru ofertanți</w:t>
      </w:r>
    </w:p>
    <w:p w14:paraId="22E0AB24" w14:textId="0C8A8254" w:rsidR="00211544" w:rsidRPr="00211544" w:rsidRDefault="00211544" w:rsidP="00211544">
      <w:pPr>
        <w:shd w:val="clear" w:color="auto" w:fill="FFFFFF"/>
        <w:tabs>
          <w:tab w:val="left" w:pos="450"/>
          <w:tab w:val="left" w:pos="720"/>
        </w:tabs>
        <w:spacing w:before="240" w:after="120" w:line="360" w:lineRule="auto"/>
        <w:ind w:left="360" w:hanging="360"/>
        <w:jc w:val="center"/>
        <w:outlineLvl w:val="0"/>
        <w:rPr>
          <w:rFonts w:ascii="Times New Roman" w:eastAsia="Times New Roman" w:hAnsi="Times New Roman"/>
          <w:b/>
          <w:bCs/>
          <w:kern w:val="32"/>
          <w:lang w:eastAsia="fr-FR"/>
          <w14:ligatures w14:val="none"/>
        </w:rPr>
      </w:pPr>
      <w:bookmarkStart w:id="0" w:name="_Toc183026434"/>
      <w:r w:rsidRPr="00211544">
        <w:rPr>
          <w:rFonts w:ascii="Times New Roman" w:eastAsia="Times New Roman" w:hAnsi="Times New Roman"/>
          <w:b/>
          <w:bCs/>
          <w:kern w:val="32"/>
          <w:lang w:eastAsia="fr-FR"/>
          <w14:ligatures w14:val="none"/>
        </w:rPr>
        <w:t>Modul de prezentare al ofertei</w:t>
      </w:r>
      <w:bookmarkEnd w:id="0"/>
      <w:r w:rsidRPr="00211544">
        <w:rPr>
          <w:rFonts w:ascii="Times New Roman" w:eastAsia="Times New Roman" w:hAnsi="Times New Roman"/>
          <w:b/>
          <w:bCs/>
          <w:kern w:val="32"/>
          <w:lang w:eastAsia="fr-FR"/>
          <w14:ligatures w14:val="none"/>
        </w:rPr>
        <w:t xml:space="preserve"> </w:t>
      </w:r>
    </w:p>
    <w:p w14:paraId="20124FFC" w14:textId="77777777" w:rsidR="00211544" w:rsidRPr="00211544" w:rsidRDefault="00211544" w:rsidP="00211544">
      <w:pPr>
        <w:widowControl w:val="0"/>
        <w:numPr>
          <w:ilvl w:val="0"/>
          <w:numId w:val="1"/>
        </w:numPr>
        <w:tabs>
          <w:tab w:val="left" w:pos="851"/>
        </w:tabs>
        <w:spacing w:before="120" w:after="120" w:line="240" w:lineRule="auto"/>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Oferta se depune în SICAP şi trebuie să conțină toate documentele solicitate în Anunțul de participare, completate în mod corespunzător.</w:t>
      </w:r>
    </w:p>
    <w:p w14:paraId="79932A18" w14:textId="77777777" w:rsidR="00211544" w:rsidRPr="00211544" w:rsidRDefault="00211544" w:rsidP="00211544">
      <w:pPr>
        <w:widowControl w:val="0"/>
        <w:numPr>
          <w:ilvl w:val="0"/>
          <w:numId w:val="1"/>
        </w:numPr>
        <w:tabs>
          <w:tab w:val="left" w:pos="851"/>
        </w:tabs>
        <w:spacing w:before="120" w:after="120" w:line="240" w:lineRule="auto"/>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Documentele care se transmit prin mijloace electronice trebuie să fie semnate electronic, în cazul documentelor emise de către instituții/organisme oficiale abilitate în acest sens, documentele respective vor fi marcate cu mențiunea „conform cu originalul,, şi vor fi semnate de către reprezentantul legal al operatorului economic sau de către o persoană împuternicită în acest sens. În cazul în care acestea sunt semnate de către o altă persoană, se va atașa ofertei, împuternicirea. Documentele emise în altă limbă decât limba română, trebuie să fie însoțite de traducerea autorizată în limba română. Nu se vor folosi prescurtări.</w:t>
      </w:r>
    </w:p>
    <w:p w14:paraId="1DC2D9BA" w14:textId="77777777" w:rsidR="00211544" w:rsidRPr="00211544" w:rsidRDefault="00211544" w:rsidP="00211544">
      <w:pPr>
        <w:widowControl w:val="0"/>
        <w:numPr>
          <w:ilvl w:val="0"/>
          <w:numId w:val="1"/>
        </w:numPr>
        <w:tabs>
          <w:tab w:val="left" w:pos="851"/>
        </w:tabs>
        <w:spacing w:before="120" w:after="120" w:line="240" w:lineRule="auto"/>
        <w:jc w:val="both"/>
        <w:rPr>
          <w:rFonts w:ascii="Times New Roman" w:eastAsia="Times New Roman" w:hAnsi="Times New Roman"/>
          <w:kern w:val="0"/>
          <w:sz w:val="16"/>
          <w:szCs w:val="16"/>
          <w:lang w:bidi="en-US"/>
          <w14:ligatures w14:val="none"/>
        </w:rPr>
      </w:pPr>
      <w:r w:rsidRPr="00211544">
        <w:rPr>
          <w:rFonts w:ascii="Times New Roman" w:eastAsia="Times New Roman" w:hAnsi="Times New Roman"/>
          <w:kern w:val="0"/>
          <w14:ligatures w14:val="none"/>
        </w:rPr>
        <w:t xml:space="preserve">Toate documentele trebuie să fie valabile la data prezentării lor. Pentru informații suplimentare privind depunerea în format electronic a ofertelor în SEAP, operatorii economici se pot adresa Agenției pentru Agenda Digitală a României (AADR), tel. 021/303.29.97, fax: 021/305.28.99, e-mail: </w:t>
      </w:r>
      <w:hyperlink r:id="rId5" w:history="1">
        <w:r w:rsidRPr="00211544">
          <w:rPr>
            <w:rFonts w:ascii="Times New Roman" w:eastAsia="Times New Roman" w:hAnsi="Times New Roman"/>
            <w:kern w:val="0"/>
            <w:lang w:bidi="en-US"/>
            <w14:ligatures w14:val="none"/>
          </w:rPr>
          <w:t>contact@aadr.ro</w:t>
        </w:r>
      </w:hyperlink>
      <w:r w:rsidRPr="00211544">
        <w:rPr>
          <w:rFonts w:ascii="Times New Roman" w:eastAsia="Times New Roman" w:hAnsi="Times New Roman"/>
          <w:kern w:val="0"/>
          <w:lang w:bidi="en-US"/>
          <w14:ligatures w14:val="none"/>
        </w:rPr>
        <w:t>.</w:t>
      </w:r>
    </w:p>
    <w:p w14:paraId="5727638D" w14:textId="77777777" w:rsidR="00211544" w:rsidRPr="00211544" w:rsidRDefault="00211544" w:rsidP="00211544">
      <w:pPr>
        <w:widowControl w:val="0"/>
        <w:numPr>
          <w:ilvl w:val="0"/>
          <w:numId w:val="1"/>
        </w:numPr>
        <w:tabs>
          <w:tab w:val="left" w:pos="851"/>
        </w:tabs>
        <w:spacing w:before="120" w:after="120" w:line="240" w:lineRule="auto"/>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Oferta va cuprinde 4 fișiere separate:</w:t>
      </w:r>
    </w:p>
    <w:p w14:paraId="1D22EDCB" w14:textId="77777777" w:rsidR="00211544" w:rsidRPr="00211544" w:rsidRDefault="00211544" w:rsidP="00211544">
      <w:pPr>
        <w:widowControl w:val="0"/>
        <w:numPr>
          <w:ilvl w:val="2"/>
          <w:numId w:val="1"/>
        </w:numPr>
        <w:tabs>
          <w:tab w:val="num" w:pos="1134"/>
        </w:tabs>
        <w:spacing w:before="120" w:after="120" w:line="240" w:lineRule="auto"/>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Fișier 1 - documentele de înscriere (garanția de participare, scrisoarea de înaintare, împuterniciri, acolo unde este cazul);</w:t>
      </w:r>
    </w:p>
    <w:p w14:paraId="600948DB" w14:textId="77777777" w:rsidR="00211544" w:rsidRPr="00211544" w:rsidRDefault="00211544" w:rsidP="00211544">
      <w:pPr>
        <w:widowControl w:val="0"/>
        <w:numPr>
          <w:ilvl w:val="2"/>
          <w:numId w:val="1"/>
        </w:numPr>
        <w:tabs>
          <w:tab w:val="num" w:pos="1134"/>
        </w:tabs>
        <w:spacing w:before="120" w:after="120" w:line="240" w:lineRule="auto"/>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Fișier 2 - Documentul unic de achiziție european DUAE;</w:t>
      </w:r>
    </w:p>
    <w:p w14:paraId="5F3CD7AB" w14:textId="77777777" w:rsidR="00211544" w:rsidRPr="00211544" w:rsidRDefault="00211544" w:rsidP="00211544">
      <w:pPr>
        <w:widowControl w:val="0"/>
        <w:numPr>
          <w:ilvl w:val="2"/>
          <w:numId w:val="1"/>
        </w:numPr>
        <w:tabs>
          <w:tab w:val="num" w:pos="1134"/>
        </w:tabs>
        <w:spacing w:before="120" w:after="120" w:line="240" w:lineRule="auto"/>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Fișier 3 - propunerea tehnică;</w:t>
      </w:r>
    </w:p>
    <w:p w14:paraId="3C2A9A5B" w14:textId="77777777" w:rsidR="00211544" w:rsidRPr="00211544" w:rsidRDefault="00211544" w:rsidP="00211544">
      <w:pPr>
        <w:widowControl w:val="0"/>
        <w:numPr>
          <w:ilvl w:val="2"/>
          <w:numId w:val="1"/>
        </w:numPr>
        <w:tabs>
          <w:tab w:val="num" w:pos="1134"/>
        </w:tabs>
        <w:spacing w:before="120" w:after="120" w:line="240" w:lineRule="auto"/>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Fișier 4 - propunerea financiară.</w:t>
      </w:r>
    </w:p>
    <w:p w14:paraId="497069BA" w14:textId="77777777" w:rsidR="00211544" w:rsidRPr="00211544" w:rsidRDefault="00211544" w:rsidP="00211544">
      <w:pPr>
        <w:widowControl w:val="0"/>
        <w:tabs>
          <w:tab w:val="num" w:pos="1134"/>
        </w:tabs>
        <w:spacing w:before="120" w:after="120" w:line="240" w:lineRule="auto"/>
        <w:ind w:left="794" w:hanging="360"/>
        <w:jc w:val="both"/>
        <w:rPr>
          <w:rFonts w:ascii="Times New Roman" w:eastAsia="Times New Roman" w:hAnsi="Times New Roman"/>
          <w:kern w:val="0"/>
          <w14:ligatures w14:val="none"/>
        </w:rPr>
      </w:pPr>
    </w:p>
    <w:p w14:paraId="7894E826" w14:textId="77777777" w:rsidR="00211544" w:rsidRPr="00211544" w:rsidRDefault="00211544" w:rsidP="00211544">
      <w:pPr>
        <w:widowControl w:val="0"/>
        <w:numPr>
          <w:ilvl w:val="0"/>
          <w:numId w:val="1"/>
        </w:numPr>
        <w:tabs>
          <w:tab w:val="left" w:pos="993"/>
        </w:tabs>
        <w:spacing w:before="120" w:after="120" w:line="240" w:lineRule="auto"/>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Propunerea tehnică și financiară va fi încărcată și în format editabil</w:t>
      </w:r>
    </w:p>
    <w:p w14:paraId="039AE302" w14:textId="77777777" w:rsidR="00211544" w:rsidRPr="00211544" w:rsidRDefault="00211544" w:rsidP="00211544">
      <w:pPr>
        <w:widowControl w:val="0"/>
        <w:numPr>
          <w:ilvl w:val="0"/>
          <w:numId w:val="1"/>
        </w:numPr>
        <w:spacing w:before="120" w:after="120" w:line="276" w:lineRule="auto"/>
        <w:jc w:val="both"/>
        <w:rPr>
          <w:rFonts w:ascii="Times New Roman" w:eastAsia="Times New Roman" w:hAnsi="Times New Roman"/>
          <w:kern w:val="0"/>
          <w:lang w:bidi="en-US"/>
          <w14:ligatures w14:val="none"/>
        </w:rPr>
      </w:pPr>
    </w:p>
    <w:p w14:paraId="68037819" w14:textId="77777777" w:rsidR="00211544" w:rsidRPr="00211544" w:rsidRDefault="00211544" w:rsidP="00211544">
      <w:pPr>
        <w:widowControl w:val="0"/>
        <w:spacing w:before="120" w:after="120" w:line="276" w:lineRule="auto"/>
        <w:ind w:firstLine="720"/>
        <w:jc w:val="both"/>
        <w:rPr>
          <w:rFonts w:ascii="Times New Roman" w:eastAsia="Times New Roman" w:hAnsi="Times New Roman"/>
          <w:kern w:val="0"/>
          <w:lang w:bidi="en-US"/>
          <w14:ligatures w14:val="none"/>
        </w:rPr>
      </w:pPr>
      <w:r w:rsidRPr="00211544">
        <w:rPr>
          <w:rFonts w:ascii="Times New Roman" w:eastAsia="Times New Roman" w:hAnsi="Times New Roman"/>
          <w:kern w:val="0"/>
          <w:lang w:bidi="en-US"/>
          <w14:ligatures w14:val="none"/>
        </w:rPr>
        <w:t>(1)Autoritatea Contractanta își rezervă dreptul de a solicita clarificări ale aspectelor prezentate în Oferta tehnică si economica, Ofertanții fiind obligați să răspundă în condițiile stabilite în Fisa de date şi în termenele ce vor fi comunicate.</w:t>
      </w:r>
    </w:p>
    <w:p w14:paraId="68235602" w14:textId="77777777" w:rsidR="00211544" w:rsidRPr="00211544" w:rsidRDefault="00211544" w:rsidP="00211544">
      <w:pPr>
        <w:widowControl w:val="0"/>
        <w:spacing w:before="120" w:after="120" w:line="276" w:lineRule="auto"/>
        <w:ind w:firstLine="720"/>
        <w:jc w:val="both"/>
        <w:rPr>
          <w:rFonts w:ascii="Times New Roman" w:eastAsia="Times New Roman" w:hAnsi="Times New Roman"/>
          <w:kern w:val="0"/>
          <w:lang w:bidi="en-US"/>
          <w14:ligatures w14:val="none"/>
        </w:rPr>
      </w:pPr>
      <w:r w:rsidRPr="00211544">
        <w:rPr>
          <w:rFonts w:ascii="Times New Roman" w:eastAsia="Times New Roman" w:hAnsi="Times New Roman"/>
          <w:kern w:val="0"/>
          <w:lang w:bidi="en-US"/>
          <w14:ligatures w14:val="none"/>
        </w:rPr>
        <w:t>(2)Autoritatea Contractantă atrage atenția tuturor ofertanților asupra necesității corelării tuturor activităților şi aspectelor prezentate în oferta tehnică cu modelul financiar solicitat în Oferta financiara. Toate activitățile şi aspectele tehnice trebuie cuprinse în fișele de fundamentare a tarifelor.</w:t>
      </w:r>
    </w:p>
    <w:p w14:paraId="2EA77F64" w14:textId="77777777" w:rsidR="00211544" w:rsidRPr="00211544" w:rsidRDefault="00211544" w:rsidP="00211544">
      <w:pPr>
        <w:widowControl w:val="0"/>
        <w:spacing w:before="120" w:after="120" w:line="276" w:lineRule="auto"/>
        <w:ind w:firstLine="720"/>
        <w:jc w:val="both"/>
        <w:rPr>
          <w:rFonts w:ascii="Times New Roman" w:eastAsia="Times New Roman" w:hAnsi="Times New Roman"/>
          <w:kern w:val="0"/>
          <w:lang w:bidi="en-US"/>
          <w14:ligatures w14:val="none"/>
        </w:rPr>
      </w:pPr>
      <w:r w:rsidRPr="00211544">
        <w:rPr>
          <w:rFonts w:ascii="Times New Roman" w:eastAsia="Times New Roman" w:hAnsi="Times New Roman"/>
          <w:kern w:val="0"/>
          <w:lang w:bidi="en-US"/>
          <w14:ligatures w14:val="none"/>
        </w:rPr>
        <w:t>(3)În cazul în care activitățile prezentate în oferta tehnică nu se regăsesc în fișele de fundamentare a tarifelor, oferta este considerată neconformă.</w:t>
      </w:r>
    </w:p>
    <w:p w14:paraId="6ACEF20C" w14:textId="77777777" w:rsidR="00211544" w:rsidRPr="00211544" w:rsidRDefault="00211544" w:rsidP="00211544">
      <w:pPr>
        <w:shd w:val="clear" w:color="auto" w:fill="FFFFFF"/>
        <w:tabs>
          <w:tab w:val="left" w:pos="450"/>
          <w:tab w:val="left" w:pos="720"/>
        </w:tabs>
        <w:spacing w:before="240" w:after="120" w:line="360" w:lineRule="auto"/>
        <w:ind w:left="360" w:hanging="360"/>
        <w:jc w:val="center"/>
        <w:outlineLvl w:val="0"/>
        <w:rPr>
          <w:rFonts w:ascii="Times New Roman" w:eastAsia="Times New Roman" w:hAnsi="Times New Roman"/>
          <w:b/>
          <w:bCs/>
          <w:kern w:val="32"/>
          <w:lang w:eastAsia="fr-FR"/>
          <w14:ligatures w14:val="none"/>
        </w:rPr>
      </w:pPr>
      <w:bookmarkStart w:id="1" w:name="_Toc183026435"/>
      <w:r w:rsidRPr="00211544">
        <w:rPr>
          <w:rFonts w:ascii="Times New Roman" w:eastAsia="Times New Roman" w:hAnsi="Times New Roman"/>
          <w:b/>
          <w:bCs/>
          <w:kern w:val="32"/>
          <w:lang w:eastAsia="fr-FR"/>
          <w14:ligatures w14:val="none"/>
        </w:rPr>
        <w:t>SECȚIUNEA 1 Prezentarea ofertei tehnice</w:t>
      </w:r>
      <w:bookmarkEnd w:id="1"/>
    </w:p>
    <w:p w14:paraId="2028A495" w14:textId="77777777" w:rsidR="00211544" w:rsidRPr="00211544" w:rsidRDefault="00211544" w:rsidP="00211544">
      <w:pPr>
        <w:widowControl w:val="0"/>
        <w:numPr>
          <w:ilvl w:val="0"/>
          <w:numId w:val="1"/>
        </w:numPr>
        <w:tabs>
          <w:tab w:val="left" w:pos="851"/>
        </w:tabs>
        <w:spacing w:before="120" w:after="120" w:line="240" w:lineRule="auto"/>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Propunerea tehnică va fi alcătuită din:</w:t>
      </w:r>
    </w:p>
    <w:p w14:paraId="523EA319" w14:textId="77777777" w:rsidR="00211544" w:rsidRPr="00211544" w:rsidRDefault="00211544" w:rsidP="00211544">
      <w:pPr>
        <w:widowControl w:val="0"/>
        <w:numPr>
          <w:ilvl w:val="1"/>
          <w:numId w:val="1"/>
        </w:numPr>
        <w:spacing w:before="120" w:after="120" w:line="240" w:lineRule="auto"/>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lastRenderedPageBreak/>
        <w:t xml:space="preserve">Planul de investiții (se vor indica investițiile ce sunt solicitate prin Documentația de atribuire:), însoțit de documente care atestă în mod real posibilitatea de deținere a acestora. </w:t>
      </w:r>
    </w:p>
    <w:p w14:paraId="4803CE0C" w14:textId="77777777" w:rsidR="00211544" w:rsidRPr="00211544" w:rsidRDefault="00211544" w:rsidP="00211544">
      <w:pPr>
        <w:widowControl w:val="0"/>
        <w:numPr>
          <w:ilvl w:val="1"/>
          <w:numId w:val="1"/>
        </w:numPr>
        <w:spacing w:before="120" w:after="120" w:line="240" w:lineRule="auto"/>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Programul perioadei de mobilizare:</w:t>
      </w:r>
    </w:p>
    <w:p w14:paraId="550485A3" w14:textId="77777777" w:rsidR="00211544" w:rsidRPr="00211544" w:rsidRDefault="00211544" w:rsidP="00211544">
      <w:pPr>
        <w:widowControl w:val="0"/>
        <w:numPr>
          <w:ilvl w:val="2"/>
          <w:numId w:val="1"/>
        </w:numPr>
        <w:spacing w:before="120" w:after="120" w:line="240" w:lineRule="auto"/>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Se va prezenta un Grafic care cuprinde activitățile ce vor fi efectuate în perioada de mobilizare cu specificarea termenelor;</w:t>
      </w:r>
    </w:p>
    <w:p w14:paraId="2987B1E8" w14:textId="77777777" w:rsidR="00211544" w:rsidRPr="00211544" w:rsidRDefault="00211544" w:rsidP="00211544">
      <w:pPr>
        <w:widowControl w:val="0"/>
        <w:numPr>
          <w:ilvl w:val="2"/>
          <w:numId w:val="1"/>
        </w:numPr>
        <w:spacing w:before="120" w:after="120" w:line="240" w:lineRule="auto"/>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 xml:space="preserve">Perioada de mobilizare este perioada dintre Data semnării şi Data începerii efective a serviciilor. Activitățile obligatorii care vor fi incluse în Graficul perioadei de mobilizare se referă, cel puțin la condițiile trebuie îndeplinite pe parcursul acestei perioade conform documentației de atribuire ( contract de delegare și caietul de sarcini), vizând printre altele: </w:t>
      </w:r>
    </w:p>
    <w:p w14:paraId="55C0D624" w14:textId="77777777" w:rsidR="00211544" w:rsidRPr="00211544" w:rsidRDefault="00211544" w:rsidP="00211544">
      <w:pPr>
        <w:widowControl w:val="0"/>
        <w:numPr>
          <w:ilvl w:val="3"/>
          <w:numId w:val="1"/>
        </w:numPr>
        <w:spacing w:before="120" w:after="120" w:line="240" w:lineRule="auto"/>
        <w:ind w:left="1701"/>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Prezentarea garanției de bună execuție și asigurărilor solicitate în contract - vor deveni anexă la Contractul de delegare;</w:t>
      </w:r>
    </w:p>
    <w:p w14:paraId="61E3FA25" w14:textId="77777777" w:rsidR="00211544" w:rsidRPr="00211544" w:rsidRDefault="00211544" w:rsidP="00211544">
      <w:pPr>
        <w:widowControl w:val="0"/>
        <w:numPr>
          <w:ilvl w:val="3"/>
          <w:numId w:val="1"/>
        </w:numPr>
        <w:spacing w:before="120" w:after="120" w:line="240" w:lineRule="auto"/>
        <w:ind w:left="1701"/>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Prezentarea unui tabel care să cuprindă numele şi numerele de contracte de muncă pentru personalul din structura organizatorică aferentă executării contractului;</w:t>
      </w:r>
    </w:p>
    <w:p w14:paraId="020039D5" w14:textId="53CCFC71" w:rsidR="00211544" w:rsidRPr="00211544" w:rsidRDefault="00211544" w:rsidP="00211544">
      <w:pPr>
        <w:widowControl w:val="0"/>
        <w:numPr>
          <w:ilvl w:val="3"/>
          <w:numId w:val="1"/>
        </w:numPr>
        <w:spacing w:before="120" w:after="120" w:line="240" w:lineRule="auto"/>
        <w:ind w:left="1701"/>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 xml:space="preserve">Predarea pubelelor către utilizatorii serviciului, inclusiv aplicarea cip-urilor RFID </w:t>
      </w:r>
      <w:r w:rsidR="00402E36">
        <w:rPr>
          <w:rFonts w:ascii="Times New Roman" w:eastAsia="Times New Roman" w:hAnsi="Times New Roman"/>
          <w:kern w:val="0"/>
          <w14:ligatures w14:val="none"/>
        </w:rPr>
        <w:t xml:space="preserve">sau similar </w:t>
      </w:r>
      <w:r w:rsidRPr="00211544">
        <w:rPr>
          <w:rFonts w:ascii="Times New Roman" w:eastAsia="Times New Roman" w:hAnsi="Times New Roman"/>
          <w:kern w:val="0"/>
          <w14:ligatures w14:val="none"/>
        </w:rPr>
        <w:t>și amplasarea echipamentelor;</w:t>
      </w:r>
    </w:p>
    <w:p w14:paraId="5DB7526E" w14:textId="77777777" w:rsidR="00211544" w:rsidRPr="00211544" w:rsidRDefault="00211544" w:rsidP="00211544">
      <w:pPr>
        <w:widowControl w:val="0"/>
        <w:numPr>
          <w:ilvl w:val="3"/>
          <w:numId w:val="1"/>
        </w:numPr>
        <w:spacing w:before="120" w:after="120" w:line="240" w:lineRule="auto"/>
        <w:ind w:left="1701"/>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 xml:space="preserve">Achiziția utilajelor și a echipamentelor; </w:t>
      </w:r>
    </w:p>
    <w:p w14:paraId="5CE22CB0" w14:textId="77777777" w:rsidR="00211544" w:rsidRPr="00211544" w:rsidRDefault="00211544" w:rsidP="00211544">
      <w:pPr>
        <w:widowControl w:val="0"/>
        <w:numPr>
          <w:ilvl w:val="3"/>
          <w:numId w:val="1"/>
        </w:numPr>
        <w:spacing w:before="120" w:after="120" w:line="240" w:lineRule="auto"/>
        <w:ind w:left="1701"/>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Prezentarea documentelor (contract de proprietate/de închiriere, autorizații) privind baza de lucru unde operatorul are parcul de utilaje, dispeceratul etc.;</w:t>
      </w:r>
    </w:p>
    <w:p w14:paraId="6BD94DE7" w14:textId="77777777" w:rsidR="00211544" w:rsidRPr="00211544" w:rsidRDefault="00211544" w:rsidP="00211544">
      <w:pPr>
        <w:widowControl w:val="0"/>
        <w:numPr>
          <w:ilvl w:val="3"/>
          <w:numId w:val="1"/>
        </w:numPr>
        <w:spacing w:before="120" w:after="120" w:line="240" w:lineRule="auto"/>
        <w:ind w:left="1701"/>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Obținerea autorizațiilor;</w:t>
      </w:r>
    </w:p>
    <w:p w14:paraId="0A8E7B53" w14:textId="77777777" w:rsidR="00211544" w:rsidRPr="00211544" w:rsidRDefault="00211544" w:rsidP="00211544">
      <w:pPr>
        <w:widowControl w:val="0"/>
        <w:numPr>
          <w:ilvl w:val="3"/>
          <w:numId w:val="1"/>
        </w:numPr>
        <w:spacing w:before="120" w:after="120" w:line="240" w:lineRule="auto"/>
        <w:ind w:left="1701"/>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Stabilirea procedurilor de lucru, raportare și decontare a serviciilor etc;</w:t>
      </w:r>
    </w:p>
    <w:p w14:paraId="171DE1EB" w14:textId="77777777" w:rsidR="00211544" w:rsidRPr="00211544" w:rsidRDefault="00211544" w:rsidP="00211544">
      <w:pPr>
        <w:widowControl w:val="0"/>
        <w:numPr>
          <w:ilvl w:val="3"/>
          <w:numId w:val="1"/>
        </w:numPr>
        <w:spacing w:before="120" w:after="120" w:line="240" w:lineRule="auto"/>
        <w:ind w:left="1701"/>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Prezentarea proceselor - verbale de luare în posesie a bunurilor puse la dispoziție de către autoritatea contractantă, care vor deveni anexă la Contractul de delegare.</w:t>
      </w:r>
    </w:p>
    <w:p w14:paraId="7070A1C6" w14:textId="55F2581E" w:rsidR="00211544" w:rsidRPr="00211544" w:rsidRDefault="00211544" w:rsidP="00211544">
      <w:pPr>
        <w:widowControl w:val="0"/>
        <w:numPr>
          <w:ilvl w:val="1"/>
          <w:numId w:val="1"/>
        </w:numPr>
        <w:spacing w:before="120" w:after="120" w:line="240" w:lineRule="auto"/>
        <w:jc w:val="both"/>
        <w:rPr>
          <w:rFonts w:ascii="Times New Roman" w:eastAsia="Times New Roman" w:hAnsi="Times New Roman"/>
          <w:kern w:val="0"/>
          <w:sz w:val="22"/>
          <w:szCs w:val="22"/>
          <w14:ligatures w14:val="none"/>
        </w:rPr>
      </w:pPr>
      <w:r w:rsidRPr="00211544">
        <w:rPr>
          <w:rFonts w:ascii="Times New Roman" w:eastAsia="Times New Roman" w:hAnsi="Times New Roman"/>
          <w:kern w:val="0"/>
          <w14:ligatures w14:val="none"/>
        </w:rPr>
        <w:t>Structura organizatorică a operatorului economic pentru îndeplinirea prezentului contract</w:t>
      </w:r>
      <w:r w:rsidR="00993D69">
        <w:rPr>
          <w:rFonts w:ascii="Times New Roman" w:eastAsia="Times New Roman" w:hAnsi="Times New Roman"/>
          <w:kern w:val="0"/>
          <w14:ligatures w14:val="none"/>
        </w:rPr>
        <w:t>,</w:t>
      </w:r>
      <w:r w:rsidR="00993D69" w:rsidRPr="00993D69">
        <w:t xml:space="preserve"> </w:t>
      </w:r>
      <w:r w:rsidR="00993D69" w:rsidRPr="00993D69">
        <w:rPr>
          <w:rFonts w:ascii="Times New Roman" w:eastAsia="Times New Roman" w:hAnsi="Times New Roman"/>
          <w:kern w:val="0"/>
          <w14:ligatures w14:val="none"/>
        </w:rPr>
        <w:t>pe categorii de personal, cu specificarea specializărilor/calificărilor profesionale ale personalului de conducere și ale personalului de execuție și cu indicarea numărului de salariați angajați cu salariul minim brut pe țară garantat la plată</w:t>
      </w:r>
      <w:r w:rsidRPr="00211544">
        <w:rPr>
          <w:rFonts w:ascii="Times New Roman" w:eastAsia="Times New Roman" w:hAnsi="Times New Roman"/>
          <w:kern w:val="0"/>
          <w14:ligatures w14:val="none"/>
        </w:rPr>
        <w:t xml:space="preserve">. Se va prezenta Organigrama care va ține seama de cerințele documentației. </w:t>
      </w:r>
    </w:p>
    <w:p w14:paraId="2BFB2BFB" w14:textId="77777777" w:rsidR="00211544" w:rsidRPr="00211544" w:rsidRDefault="00211544" w:rsidP="00211544">
      <w:pPr>
        <w:widowControl w:val="0"/>
        <w:numPr>
          <w:ilvl w:val="1"/>
          <w:numId w:val="1"/>
        </w:numPr>
        <w:spacing w:before="120" w:after="120" w:line="240" w:lineRule="auto"/>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Utilajele specifice din dotarea operatorului, care pot fi disponibilizate pentru executarea prezentului contract: număr, tip, volum astfel cum sunt solicitate în Formularul nr. 9 din Secțiunea Formulare, inclusiv modalitatea de deținere.</w:t>
      </w:r>
    </w:p>
    <w:p w14:paraId="5DD30A2F" w14:textId="7565A04A" w:rsidR="00211544" w:rsidRPr="00211544" w:rsidRDefault="00211544" w:rsidP="00211544">
      <w:pPr>
        <w:widowControl w:val="0"/>
        <w:spacing w:before="120" w:after="120" w:line="240" w:lineRule="auto"/>
        <w:ind w:left="928"/>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 xml:space="preserve">Calculele de dimensionare a autocompactoarelor vor fi prezentate explicit și justificate (ca număr, capacitate și tip de vehicule ofertate) în oferta tehnică şi financiară (pentru fiecare fișă de fundamentare a tarifelor), cu asigurarea respectării </w:t>
      </w:r>
      <w:r>
        <w:rPr>
          <w:rFonts w:ascii="Times New Roman" w:eastAsia="Times New Roman" w:hAnsi="Times New Roman"/>
          <w:kern w:val="0"/>
          <w14:ligatures w14:val="none"/>
        </w:rPr>
        <w:t>formulelor din Caietul de sarcini</w:t>
      </w:r>
      <w:r w:rsidRPr="00211544">
        <w:rPr>
          <w:rFonts w:ascii="Times New Roman" w:eastAsia="Times New Roman" w:hAnsi="Times New Roman"/>
          <w:kern w:val="0"/>
          <w14:ligatures w14:val="none"/>
        </w:rPr>
        <w:t>.</w:t>
      </w:r>
    </w:p>
    <w:p w14:paraId="043A8A4A" w14:textId="77777777" w:rsidR="00211544" w:rsidRPr="00211544" w:rsidRDefault="00211544" w:rsidP="00211544">
      <w:pPr>
        <w:widowControl w:val="0"/>
        <w:numPr>
          <w:ilvl w:val="1"/>
          <w:numId w:val="1"/>
        </w:numPr>
        <w:spacing w:before="120" w:after="120" w:line="240" w:lineRule="auto"/>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 xml:space="preserve">Modul de prestare a activităților, ținând cont tarifele aplicate, inclusiv de gestionare a fluxurilor speciale; </w:t>
      </w:r>
    </w:p>
    <w:p w14:paraId="1CB37FA1" w14:textId="77777777" w:rsidR="00211544" w:rsidRDefault="00211544" w:rsidP="00211544">
      <w:pPr>
        <w:spacing w:before="120" w:after="120" w:line="240" w:lineRule="auto"/>
        <w:ind w:left="922" w:hanging="360"/>
        <w:jc w:val="both"/>
        <w:rPr>
          <w:rFonts w:ascii="Times New Roman" w:eastAsia="Times New Roman" w:hAnsi="Times New Roman"/>
          <w:kern w:val="0"/>
          <w14:ligatures w14:val="none"/>
        </w:rPr>
      </w:pPr>
    </w:p>
    <w:p w14:paraId="0CEBBC07" w14:textId="77777777" w:rsidR="00211544" w:rsidRPr="00211544" w:rsidRDefault="00211544" w:rsidP="00211544">
      <w:pPr>
        <w:spacing w:before="120" w:after="120" w:line="240" w:lineRule="auto"/>
        <w:ind w:left="922" w:hanging="360"/>
        <w:jc w:val="both"/>
        <w:rPr>
          <w:rFonts w:ascii="Times New Roman" w:eastAsia="Times New Roman" w:hAnsi="Times New Roman"/>
          <w:b/>
          <w:bCs/>
          <w:kern w:val="0"/>
          <w14:ligatures w14:val="none"/>
        </w:rPr>
      </w:pPr>
      <w:bookmarkStart w:id="2" w:name="_Toc183026436"/>
      <w:r w:rsidRPr="00211544">
        <w:rPr>
          <w:rFonts w:ascii="Times New Roman" w:eastAsia="Times New Roman" w:hAnsi="Times New Roman"/>
          <w:b/>
          <w:bCs/>
          <w:kern w:val="0"/>
          <w14:ligatures w14:val="none"/>
        </w:rPr>
        <w:lastRenderedPageBreak/>
        <w:t>SECȚIUNEA a 2-a Prezentarea ofertei financiare</w:t>
      </w:r>
      <w:bookmarkEnd w:id="2"/>
    </w:p>
    <w:p w14:paraId="4A991C47" w14:textId="77777777" w:rsidR="00211544" w:rsidRPr="00211544" w:rsidRDefault="00211544" w:rsidP="00211544">
      <w:pPr>
        <w:numPr>
          <w:ilvl w:val="0"/>
          <w:numId w:val="1"/>
        </w:numPr>
        <w:spacing w:before="120" w:after="120" w:line="240" w:lineRule="auto"/>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Operatorii economici participanți la procedură vor oferta tarife distincte aferente activităților solicitate a fi prestate și a tarifelor aplicabile, având în vedere prevederile Ordinului ANRSC nr.640/2022 privind aprobarea Normelor metodologice de stabilire, ajustare sau modificare a tarifelor pentru activitățile de salubrizare, precum şi calculare a tarifelor/taxelor distincte pentru gestionarea deşeurilor şi a taxelor de salubrizare.</w:t>
      </w:r>
    </w:p>
    <w:p w14:paraId="6EDEB16C" w14:textId="77777777" w:rsidR="00211544" w:rsidRPr="00211544" w:rsidRDefault="00211544" w:rsidP="00211544">
      <w:pPr>
        <w:numPr>
          <w:ilvl w:val="0"/>
          <w:numId w:val="1"/>
        </w:numPr>
        <w:spacing w:before="120" w:after="120" w:line="240" w:lineRule="auto"/>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 xml:space="preserve">De asemenea vor prezenta și fișe de fundamentare pentru activitățile conexe serviciului, respectiv: </w:t>
      </w:r>
    </w:p>
    <w:p w14:paraId="70497012" w14:textId="77777777" w:rsidR="00211544" w:rsidRPr="00211544" w:rsidRDefault="00211544" w:rsidP="00211544">
      <w:pPr>
        <w:numPr>
          <w:ilvl w:val="1"/>
          <w:numId w:val="1"/>
        </w:numPr>
        <w:spacing w:before="120" w:after="120" w:line="240" w:lineRule="auto"/>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tariful pentru gestionarea deşeurilor provenite din locuințe, generate de activități de reamenajare şi reabilitare interioară şi/sau exterioară a acestora, la solicitarea utilizatorilor casnici, pe baza fişei de fundamentare întocmită de către operator. Factura se emite către utilizatorii serviciului;</w:t>
      </w:r>
    </w:p>
    <w:p w14:paraId="4C5D5BD9" w14:textId="77777777" w:rsidR="00211544" w:rsidRPr="00211544" w:rsidRDefault="00211544" w:rsidP="00211544">
      <w:pPr>
        <w:numPr>
          <w:ilvl w:val="1"/>
          <w:numId w:val="1"/>
        </w:numPr>
        <w:spacing w:before="120" w:after="120" w:line="240" w:lineRule="auto"/>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tariful pentru gestionarea deşeurilor voluminoase, inclusiv saltelele şi mobila, colectate la solicitarea utilizatorilor, pe baza fişei de fundamentare întocmită de către operator. Factura se emite către utilizatorii serviciului;</w:t>
      </w:r>
    </w:p>
    <w:p w14:paraId="349970AB" w14:textId="730AFF49" w:rsidR="00211544" w:rsidRPr="00211544" w:rsidRDefault="00211544" w:rsidP="00211544">
      <w:pPr>
        <w:numPr>
          <w:ilvl w:val="1"/>
          <w:numId w:val="1"/>
        </w:numPr>
        <w:spacing w:before="120" w:after="120" w:line="240" w:lineRule="auto"/>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 xml:space="preserve">tariful pentru gestionarea deşeurilor municipale abandonate, pe baza fişei de fundamentare întocmită de către operator, prin raportare la datele </w:t>
      </w:r>
      <w:r>
        <w:rPr>
          <w:rFonts w:ascii="Times New Roman" w:eastAsia="Times New Roman" w:hAnsi="Times New Roman"/>
          <w:kern w:val="0"/>
          <w14:ligatures w14:val="none"/>
        </w:rPr>
        <w:t>prezentate în Caietul de sarcini</w:t>
      </w:r>
      <w:r w:rsidRPr="00211544">
        <w:rPr>
          <w:rFonts w:ascii="Times New Roman" w:eastAsia="Times New Roman" w:hAnsi="Times New Roman"/>
          <w:kern w:val="0"/>
          <w14:ligatures w14:val="none"/>
        </w:rPr>
        <w:t>. Factura se emite către autoritatea administrației publice locale a unității administrativ-teritoriale.</w:t>
      </w:r>
    </w:p>
    <w:p w14:paraId="7D842BFB" w14:textId="580DCDD3" w:rsidR="00211544" w:rsidRPr="00211544" w:rsidRDefault="00211544" w:rsidP="00211544">
      <w:pPr>
        <w:numPr>
          <w:ilvl w:val="1"/>
          <w:numId w:val="1"/>
        </w:numPr>
        <w:spacing w:before="120" w:after="120" w:line="240" w:lineRule="auto"/>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 xml:space="preserve">tariful pentru gestionarea deşeurilor abandonate provenite de la lucrări de construcții, pe baza fişei de fundamentare întocmită de către operator, prin raportare la datele prezentate în Caietul de sarcini. Factura se emite către autoritatea administrației publice locale a unității administrativ-teritoriale. </w:t>
      </w:r>
    </w:p>
    <w:p w14:paraId="338B4825" w14:textId="77777777" w:rsidR="00211544" w:rsidRPr="00211544" w:rsidRDefault="00211544" w:rsidP="00211544">
      <w:pPr>
        <w:numPr>
          <w:ilvl w:val="0"/>
          <w:numId w:val="1"/>
        </w:numPr>
        <w:spacing w:before="120" w:after="120" w:line="240" w:lineRule="auto"/>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 xml:space="preserve">Tariful aplicat pentru gestionarea deşeurilor provenite de la evenimentele publice, la solicitarea organizatorilor va fi cel aferent fracțiilor de deșeuri efectiv colectate. Factura se emite către organizatorul evenimentului public. </w:t>
      </w:r>
    </w:p>
    <w:p w14:paraId="015B92C1" w14:textId="77777777" w:rsidR="00211544" w:rsidRPr="00211544" w:rsidRDefault="00211544" w:rsidP="00211544">
      <w:pPr>
        <w:numPr>
          <w:ilvl w:val="0"/>
          <w:numId w:val="1"/>
        </w:numPr>
        <w:spacing w:before="120" w:after="120" w:line="240" w:lineRule="auto"/>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Oferta financiară va cuprinde Fișele de fundamentare a tarifelor distincte pe elemente de cheltuieli, întocmite potrivit art. 29 din Ordinul A.N.R.S.C. nr. 640/2022, însoțite de memoriile tehnico-justificative potrivit art. 29 alin. (6) și documente justificative, cum ar fi contracte/antecontracte și detalieri prin care s-au determinat respectivele costuri.</w:t>
      </w:r>
    </w:p>
    <w:p w14:paraId="3119AB63" w14:textId="4B6465C7" w:rsidR="00211544" w:rsidRPr="00211544" w:rsidRDefault="00211544" w:rsidP="00211544">
      <w:pPr>
        <w:numPr>
          <w:ilvl w:val="0"/>
          <w:numId w:val="1"/>
        </w:numPr>
        <w:spacing w:before="120" w:after="120" w:line="240" w:lineRule="auto"/>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 xml:space="preserve">Stabilirea nivelului tarifului/tarifelor se fundamentează de către operatori, pe structura elementelor de cheltuieli prevăzută în </w:t>
      </w:r>
      <w:r w:rsidR="00657465" w:rsidRPr="00211544">
        <w:rPr>
          <w:rFonts w:ascii="Times New Roman" w:eastAsia="Times New Roman" w:hAnsi="Times New Roman"/>
          <w:kern w:val="0"/>
          <w14:ligatures w14:val="none"/>
        </w:rPr>
        <w:t>fișa</w:t>
      </w:r>
      <w:r w:rsidRPr="00211544">
        <w:rPr>
          <w:rFonts w:ascii="Times New Roman" w:eastAsia="Times New Roman" w:hAnsi="Times New Roman"/>
          <w:kern w:val="0"/>
          <w14:ligatures w14:val="none"/>
        </w:rPr>
        <w:t xml:space="preserve"> de fundamentare dedicată fiecărei activități de salubrizare</w:t>
      </w:r>
      <w:r w:rsidR="00657465">
        <w:rPr>
          <w:rFonts w:ascii="Times New Roman" w:eastAsia="Times New Roman" w:hAnsi="Times New Roman"/>
          <w:kern w:val="0"/>
          <w14:ligatures w14:val="none"/>
        </w:rPr>
        <w:t>/tip de tarif solicitat</w:t>
      </w:r>
      <w:r w:rsidRPr="00211544">
        <w:rPr>
          <w:rFonts w:ascii="Times New Roman" w:eastAsia="Times New Roman" w:hAnsi="Times New Roman"/>
          <w:kern w:val="0"/>
          <w14:ligatures w14:val="none"/>
        </w:rPr>
        <w:t>.</w:t>
      </w:r>
    </w:p>
    <w:p w14:paraId="40D0D46D" w14:textId="77777777" w:rsidR="00211544" w:rsidRPr="00211544" w:rsidRDefault="00211544" w:rsidP="00211544">
      <w:pPr>
        <w:numPr>
          <w:ilvl w:val="0"/>
          <w:numId w:val="1"/>
        </w:numPr>
        <w:spacing w:before="120" w:after="120" w:line="240" w:lineRule="auto"/>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Oferta este considerată neconformă de către autoritatea contractantă dacă tarifele ofertate nu sunt însoțite de fișele de fundamentare pe elemente de cheltuieli.</w:t>
      </w:r>
    </w:p>
    <w:p w14:paraId="26722850" w14:textId="77777777" w:rsidR="00211544" w:rsidRPr="00211544" w:rsidRDefault="00211544" w:rsidP="00211544">
      <w:pPr>
        <w:numPr>
          <w:ilvl w:val="0"/>
          <w:numId w:val="1"/>
        </w:numPr>
        <w:spacing w:before="120" w:after="120" w:line="240" w:lineRule="auto"/>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Tarifele se includ în contractul de delegare la nivelul din oferta financiară acceptată, fără a mai fi supuse aprobării autorităților deliberative ale unității administrativ-teritoriale sau, după caz, Adunării Generale a Asociației de Dezvoltare Intercomunitară.</w:t>
      </w:r>
    </w:p>
    <w:p w14:paraId="0481449B" w14:textId="77777777" w:rsidR="00211544" w:rsidRPr="00211544" w:rsidRDefault="00211544" w:rsidP="00211544">
      <w:pPr>
        <w:numPr>
          <w:ilvl w:val="0"/>
          <w:numId w:val="1"/>
        </w:numPr>
        <w:spacing w:before="120" w:after="120" w:line="240" w:lineRule="auto"/>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 xml:space="preserve">Fundamentarea cheltuielilor aferente fiecărei activități în parte se face pe baza consumurilor normate de carburanți, aditivi, lubrifianți, piese de schimb, materii prime şi materiale consumabile, echipamente de lucru şi de protecția muncii, utilități, calculate la prețurile acestora </w:t>
      </w:r>
      <w:r w:rsidRPr="00211544">
        <w:rPr>
          <w:rFonts w:ascii="Times New Roman" w:eastAsia="Times New Roman" w:hAnsi="Times New Roman"/>
          <w:kern w:val="0"/>
          <w14:ligatures w14:val="none"/>
        </w:rPr>
        <w:lastRenderedPageBreak/>
        <w:t>în vigoare, a cheltuielilor de natură salarială, precum şi a celorlalte elemente de cheltuieli necesare prestării activității respective, în raport cu legislația în vigoare şi corelat cu principiul eficienței economice.</w:t>
      </w:r>
    </w:p>
    <w:p w14:paraId="6E31A2FB" w14:textId="77777777" w:rsidR="00211544" w:rsidRPr="00211544" w:rsidRDefault="00211544" w:rsidP="00211544">
      <w:pPr>
        <w:numPr>
          <w:ilvl w:val="0"/>
          <w:numId w:val="1"/>
        </w:numPr>
        <w:spacing w:before="120" w:after="120" w:line="240" w:lineRule="auto"/>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La stabilirea tarifelor pentru activitățile specifice serviciului de salubrizare se au în vedere următoarele criterii:</w:t>
      </w:r>
    </w:p>
    <w:p w14:paraId="01466BA0" w14:textId="77777777" w:rsidR="00211544" w:rsidRPr="00211544" w:rsidRDefault="00211544" w:rsidP="00211544">
      <w:pPr>
        <w:numPr>
          <w:ilvl w:val="0"/>
          <w:numId w:val="2"/>
        </w:numPr>
        <w:spacing w:before="120" w:after="120" w:line="240" w:lineRule="auto"/>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cheltuielile cu carburanții, aditivii, lubrifianții se stabilesc în funcție de tipul autospecialelor, utilajelor, mijloacelor de transport şi a echipamentelor specifice utilizate în activitate, la prețul de achiziție în vigoare;</w:t>
      </w:r>
    </w:p>
    <w:p w14:paraId="059B9718" w14:textId="77777777" w:rsidR="00211544" w:rsidRPr="00211544" w:rsidRDefault="00211544" w:rsidP="00211544">
      <w:pPr>
        <w:numPr>
          <w:ilvl w:val="0"/>
          <w:numId w:val="2"/>
        </w:numPr>
        <w:spacing w:before="120" w:after="120" w:line="240" w:lineRule="auto"/>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cheltuielile cu utilitățile se stabilesc în funcție de consumurile anuale programate pentru prestarea activității de salubrizare şi includ cheltuieli cu energia electrică tehnologică, energia electrică aferentă activităților administrative, cheltuieli cu alimentarea cu apă şi canalizarea apelor uzate, cheltuieli cu energia termică etc., la prețul de achiziție în vigoare;</w:t>
      </w:r>
    </w:p>
    <w:p w14:paraId="3D002F83" w14:textId="77777777" w:rsidR="00211544" w:rsidRPr="00211544" w:rsidRDefault="00211544" w:rsidP="00211544">
      <w:pPr>
        <w:numPr>
          <w:ilvl w:val="0"/>
          <w:numId w:val="2"/>
        </w:numPr>
        <w:spacing w:before="120" w:after="120" w:line="240" w:lineRule="auto"/>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cheltuielile cu piesele de schimb necesare autospecialelor, utilajelor, mijloacelor de transport, instalațiilor şi/sau echipamentelor se stabilesc pentru fiecare categorie/mijloc fix, la prețul de achiziție al acestora, având la bază planificarea lucrărilor de întreținere şi reparații corelată cu normativele în vigoare şi/sau cartea tehnică/manualul de operare;</w:t>
      </w:r>
    </w:p>
    <w:p w14:paraId="4B2B97FA" w14:textId="77777777" w:rsidR="00211544" w:rsidRPr="00211544" w:rsidRDefault="00211544" w:rsidP="00211544">
      <w:pPr>
        <w:numPr>
          <w:ilvl w:val="0"/>
          <w:numId w:val="2"/>
        </w:numPr>
        <w:spacing w:before="120" w:after="120" w:line="240" w:lineRule="auto"/>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cheltuielile cu materiile prime şi materialele consumabile se stabilesc pentru fiecare categorie specifică activității, în funcție de consumurile normate şi de prețul de achiziție al acestora;</w:t>
      </w:r>
    </w:p>
    <w:p w14:paraId="6272352C" w14:textId="77777777" w:rsidR="00211544" w:rsidRPr="00211544" w:rsidRDefault="00211544" w:rsidP="00211544">
      <w:pPr>
        <w:numPr>
          <w:ilvl w:val="0"/>
          <w:numId w:val="2"/>
        </w:numPr>
        <w:spacing w:before="120" w:after="120" w:line="240" w:lineRule="auto"/>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cheltuielile cu echipamentele de lucru şi de protecția muncii se stabilesc ținând cont de prevederile legale în vigoare, de riscurile asociate fiecărei activități desfăşurate şi angajamentele asumate la nivelul organizației, la prețul de achiziție al acestora în vigoare;</w:t>
      </w:r>
    </w:p>
    <w:p w14:paraId="526ED3A4" w14:textId="77777777" w:rsidR="00211544" w:rsidRPr="00211544" w:rsidRDefault="00211544" w:rsidP="00211544">
      <w:pPr>
        <w:numPr>
          <w:ilvl w:val="0"/>
          <w:numId w:val="2"/>
        </w:numPr>
        <w:spacing w:before="120" w:after="120" w:line="240" w:lineRule="auto"/>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cheltuielile cu reparațiile se vor lua în calcul la nivelul programat anual, potrivit planului de reparații întocmit pe baza normativelor tehnice n vigoare şi/sau a documentațiilor tehnice ale mijloacelor fixe;</w:t>
      </w:r>
    </w:p>
    <w:p w14:paraId="00BA21AF" w14:textId="77777777" w:rsidR="00211544" w:rsidRPr="00211544" w:rsidRDefault="00211544" w:rsidP="00211544">
      <w:pPr>
        <w:numPr>
          <w:ilvl w:val="0"/>
          <w:numId w:val="2"/>
        </w:numPr>
        <w:spacing w:before="120" w:after="120" w:line="240" w:lineRule="auto"/>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cheltuielile cu amortizarea se iau în calcul, cu respectarea principiului eficienței, cu recuperarea integrală a acestora, liniar, pe toată perioada contractului, indiferent dacă bunul se află sau nu în curs de amortizare; eventuala cheltuială rămasă de amortizat în cazul bunurilor care sunt deja în exploatare urmând a fi recuperată integral liniar pe toată durata contractului;</w:t>
      </w:r>
    </w:p>
    <w:p w14:paraId="7FAAE7A6" w14:textId="6DC65C37" w:rsidR="00211544" w:rsidRPr="00211544" w:rsidRDefault="00211544" w:rsidP="00211544">
      <w:pPr>
        <w:numPr>
          <w:ilvl w:val="0"/>
          <w:numId w:val="2"/>
        </w:numPr>
        <w:spacing w:before="120" w:after="120" w:line="240" w:lineRule="auto"/>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cheltuielile cu redevența vor fi incluse în tarife conform prevederilor art.15 ale Contractului de delegare</w:t>
      </w:r>
      <w:r w:rsidR="00AE4DE9">
        <w:rPr>
          <w:rFonts w:ascii="Times New Roman" w:eastAsia="Times New Roman" w:hAnsi="Times New Roman"/>
          <w:kern w:val="0"/>
          <w14:ligatures w14:val="none"/>
        </w:rPr>
        <w:t xml:space="preserve">; </w:t>
      </w:r>
    </w:p>
    <w:p w14:paraId="5A85CA88" w14:textId="77777777" w:rsidR="00211544" w:rsidRPr="00211544" w:rsidRDefault="00211544" w:rsidP="00211544">
      <w:pPr>
        <w:numPr>
          <w:ilvl w:val="0"/>
          <w:numId w:val="2"/>
        </w:numPr>
        <w:spacing w:before="120" w:after="120" w:line="240" w:lineRule="auto"/>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cheltuielile pentru protecția mediului se vor lua în calcul la nivelul prevăzut de legislația în vigoare;</w:t>
      </w:r>
    </w:p>
    <w:p w14:paraId="59B7B91E" w14:textId="77777777" w:rsidR="00211544" w:rsidRPr="00211544" w:rsidRDefault="00211544" w:rsidP="00211544">
      <w:pPr>
        <w:numPr>
          <w:ilvl w:val="0"/>
          <w:numId w:val="2"/>
        </w:numPr>
        <w:spacing w:before="120" w:after="120" w:line="240" w:lineRule="auto"/>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cheltuielile cu determinarea compoziției deşeurilor se stabilesc ținând cont de cheltuielile de prestare în regie proprie şi/sau de prețul de achiziție al acestor servicii, în corelare cu specificațiile tehnice în vigoare şi prevederile din documentația de atribuire a contractului de delegare și vor fi incluse în tarifele ofertate proporțional cu cantitățile programate;</w:t>
      </w:r>
    </w:p>
    <w:p w14:paraId="78459B72" w14:textId="77777777" w:rsidR="00211544" w:rsidRPr="00211544" w:rsidRDefault="00211544" w:rsidP="00211544">
      <w:pPr>
        <w:numPr>
          <w:ilvl w:val="0"/>
          <w:numId w:val="2"/>
        </w:numPr>
        <w:spacing w:before="120" w:after="120" w:line="240" w:lineRule="auto"/>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alte cheltuieli cu servicii executate de către terți, care se stabilesc în funcție de prestația specifică serviciului de salubrizare, la prețul de achiziție al acestora;</w:t>
      </w:r>
    </w:p>
    <w:p w14:paraId="216965AB" w14:textId="77777777" w:rsidR="00211544" w:rsidRPr="00211544" w:rsidRDefault="00211544" w:rsidP="00211544">
      <w:pPr>
        <w:numPr>
          <w:ilvl w:val="0"/>
          <w:numId w:val="2"/>
        </w:numPr>
        <w:spacing w:before="120" w:after="120" w:line="240" w:lineRule="auto"/>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alte cheltuieli materiale, care se stabilesc în funcție de prestația specifică serviciului de salubrizare, la prețul de achiziție al acestora în vigoare;</w:t>
      </w:r>
    </w:p>
    <w:p w14:paraId="636E1155" w14:textId="77777777" w:rsidR="00211544" w:rsidRPr="00211544" w:rsidRDefault="00211544" w:rsidP="00211544">
      <w:pPr>
        <w:numPr>
          <w:ilvl w:val="0"/>
          <w:numId w:val="2"/>
        </w:numPr>
        <w:spacing w:before="120" w:after="120" w:line="240" w:lineRule="auto"/>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lastRenderedPageBreak/>
        <w:t>cheltuielile de natură salarială se fundamentează în funcție de cheltuielile cu personalul, potrivit normelor de muncă, în raport cu legislația în vigoare şi corelat cu principiul eficienței economice;</w:t>
      </w:r>
    </w:p>
    <w:p w14:paraId="109BDD46" w14:textId="77777777" w:rsidR="00211544" w:rsidRPr="00211544" w:rsidRDefault="00211544" w:rsidP="00211544">
      <w:pPr>
        <w:numPr>
          <w:ilvl w:val="0"/>
          <w:numId w:val="2"/>
        </w:numPr>
        <w:spacing w:before="120" w:after="120" w:line="240" w:lineRule="auto"/>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o cotă de profit rezonabil.</w:t>
      </w:r>
    </w:p>
    <w:p w14:paraId="46846F6A" w14:textId="77777777" w:rsidR="00211544" w:rsidRDefault="00211544" w:rsidP="00211544">
      <w:pPr>
        <w:numPr>
          <w:ilvl w:val="0"/>
          <w:numId w:val="1"/>
        </w:numPr>
        <w:spacing w:before="120" w:after="120" w:line="240" w:lineRule="auto"/>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 xml:space="preserve">Costurile aferente perioadei de mobilizare se vor prezenta în mod distinct și se vor recupera integral liniar pe durata contractului prin introducerea acestora în fișa de fundamentare și într-o secțiune distinctă a Memoriului tehnico economic aferente fiecărui element de cost, pro rata în funcție de costurile aferente fiecărui tarif. </w:t>
      </w:r>
    </w:p>
    <w:p w14:paraId="554B4546" w14:textId="2A436066" w:rsidR="00FA3D04" w:rsidRDefault="00FA3D04" w:rsidP="00211544">
      <w:pPr>
        <w:numPr>
          <w:ilvl w:val="0"/>
          <w:numId w:val="1"/>
        </w:numPr>
        <w:spacing w:before="120" w:after="120" w:line="240" w:lineRule="auto"/>
        <w:jc w:val="both"/>
        <w:rPr>
          <w:rFonts w:ascii="Times New Roman" w:eastAsia="Times New Roman" w:hAnsi="Times New Roman"/>
          <w:kern w:val="0"/>
          <w14:ligatures w14:val="none"/>
        </w:rPr>
      </w:pPr>
      <w:r>
        <w:rPr>
          <w:rFonts w:ascii="Times New Roman" w:eastAsia="Times New Roman" w:hAnsi="Times New Roman"/>
          <w:kern w:val="0"/>
          <w14:ligatures w14:val="none"/>
        </w:rPr>
        <w:t>Redevența se va aloca în fis</w:t>
      </w:r>
      <w:r w:rsidR="00C42369">
        <w:rPr>
          <w:rFonts w:ascii="Times New Roman" w:eastAsia="Times New Roman" w:hAnsi="Times New Roman"/>
          <w:kern w:val="0"/>
          <w14:ligatures w14:val="none"/>
        </w:rPr>
        <w:t>a</w:t>
      </w:r>
      <w:r>
        <w:rPr>
          <w:rFonts w:ascii="Times New Roman" w:eastAsia="Times New Roman" w:hAnsi="Times New Roman"/>
          <w:kern w:val="0"/>
          <w14:ligatures w14:val="none"/>
        </w:rPr>
        <w:t xml:space="preserve"> de fundamentare </w:t>
      </w:r>
      <w:r w:rsidR="00C42369">
        <w:rPr>
          <w:rFonts w:ascii="Times New Roman" w:eastAsia="Times New Roman" w:hAnsi="Times New Roman"/>
          <w:kern w:val="0"/>
          <w14:ligatures w14:val="none"/>
        </w:rPr>
        <w:t>pentru tariful</w:t>
      </w:r>
      <w:r w:rsidR="004E7004" w:rsidRPr="004E7004">
        <w:rPr>
          <w:rFonts w:ascii="Times New Roman" w:eastAsia="Times New Roman" w:hAnsi="Times New Roman"/>
          <w:kern w:val="0"/>
          <w14:ligatures w14:val="none"/>
        </w:rPr>
        <w:t xml:space="preserve"> pentru activitatea de colectare și transport separat al deșeurilor reziduale</w:t>
      </w:r>
      <w:r w:rsidR="00C92810">
        <w:rPr>
          <w:rFonts w:ascii="Times New Roman" w:eastAsia="Times New Roman" w:hAnsi="Times New Roman"/>
          <w:kern w:val="0"/>
          <w14:ligatures w14:val="none"/>
        </w:rPr>
        <w:t xml:space="preserve">. </w:t>
      </w:r>
    </w:p>
    <w:p w14:paraId="2CF22B9C" w14:textId="69BD3689" w:rsidR="00C92810" w:rsidRPr="00211544" w:rsidRDefault="00C92810" w:rsidP="00211544">
      <w:pPr>
        <w:numPr>
          <w:ilvl w:val="0"/>
          <w:numId w:val="1"/>
        </w:numPr>
        <w:spacing w:before="120" w:after="120" w:line="240" w:lineRule="auto"/>
        <w:jc w:val="both"/>
        <w:rPr>
          <w:rFonts w:ascii="Times New Roman" w:eastAsia="Times New Roman" w:hAnsi="Times New Roman"/>
          <w:kern w:val="0"/>
          <w14:ligatures w14:val="none"/>
        </w:rPr>
      </w:pPr>
      <w:r>
        <w:rPr>
          <w:rFonts w:ascii="Times New Roman" w:eastAsia="Times New Roman" w:hAnsi="Times New Roman"/>
          <w:kern w:val="0"/>
          <w14:ligatures w14:val="none"/>
        </w:rPr>
        <w:t xml:space="preserve">Având în vedere că </w:t>
      </w:r>
      <w:r w:rsidR="005E77F5">
        <w:rPr>
          <w:rFonts w:ascii="Times New Roman" w:eastAsia="Times New Roman" w:hAnsi="Times New Roman"/>
          <w:kern w:val="0"/>
          <w14:ligatures w14:val="none"/>
        </w:rPr>
        <w:t xml:space="preserve">deșeurile verzi vor fi colectate fără a se solicita o plată distinctă, costurile </w:t>
      </w:r>
      <w:r w:rsidR="001B37A4">
        <w:rPr>
          <w:rFonts w:ascii="Times New Roman" w:eastAsia="Times New Roman" w:hAnsi="Times New Roman"/>
          <w:kern w:val="0"/>
          <w14:ligatures w14:val="none"/>
        </w:rPr>
        <w:t>aferente colectării acestei fracții v</w:t>
      </w:r>
      <w:r w:rsidR="000E79E4">
        <w:rPr>
          <w:rFonts w:ascii="Times New Roman" w:eastAsia="Times New Roman" w:hAnsi="Times New Roman"/>
          <w:kern w:val="0"/>
          <w14:ligatures w14:val="none"/>
        </w:rPr>
        <w:t>or</w:t>
      </w:r>
      <w:r w:rsidR="001B37A4">
        <w:rPr>
          <w:rFonts w:ascii="Times New Roman" w:eastAsia="Times New Roman" w:hAnsi="Times New Roman"/>
          <w:kern w:val="0"/>
          <w14:ligatures w14:val="none"/>
        </w:rPr>
        <w:t xml:space="preserve"> fi inclus</w:t>
      </w:r>
      <w:r w:rsidR="000E79E4">
        <w:rPr>
          <w:rFonts w:ascii="Times New Roman" w:eastAsia="Times New Roman" w:hAnsi="Times New Roman"/>
          <w:kern w:val="0"/>
          <w14:ligatures w14:val="none"/>
        </w:rPr>
        <w:t>e</w:t>
      </w:r>
      <w:r w:rsidR="001B37A4">
        <w:rPr>
          <w:rFonts w:ascii="Times New Roman" w:eastAsia="Times New Roman" w:hAnsi="Times New Roman"/>
          <w:kern w:val="0"/>
          <w14:ligatures w14:val="none"/>
        </w:rPr>
        <w:t xml:space="preserve"> în </w:t>
      </w:r>
      <w:r w:rsidR="000E79E4">
        <w:rPr>
          <w:rFonts w:ascii="Times New Roman" w:eastAsia="Times New Roman" w:hAnsi="Times New Roman"/>
          <w:kern w:val="0"/>
          <w14:ligatures w14:val="none"/>
        </w:rPr>
        <w:t xml:space="preserve">tariful de colectare a biodeșeurilor; cantitatea programată aferentă tarifului fiind </w:t>
      </w:r>
      <w:r w:rsidR="001C0063">
        <w:rPr>
          <w:rFonts w:ascii="Times New Roman" w:eastAsia="Times New Roman" w:hAnsi="Times New Roman"/>
          <w:kern w:val="0"/>
          <w14:ligatures w14:val="none"/>
        </w:rPr>
        <w:t xml:space="preserve">de </w:t>
      </w:r>
      <w:r w:rsidR="00E00D2E" w:rsidRPr="00E00D2E">
        <w:rPr>
          <w:rFonts w:ascii="Times New Roman" w:eastAsia="Times New Roman" w:hAnsi="Times New Roman"/>
          <w:kern w:val="0"/>
          <w14:ligatures w14:val="none"/>
        </w:rPr>
        <w:t>3,765.05</w:t>
      </w:r>
      <w:r w:rsidR="001C0063">
        <w:rPr>
          <w:rFonts w:ascii="Times New Roman" w:eastAsia="Times New Roman" w:hAnsi="Times New Roman"/>
          <w:kern w:val="0"/>
          <w14:ligatures w14:val="none"/>
        </w:rPr>
        <w:t xml:space="preserve"> tone/an. </w:t>
      </w:r>
      <w:r w:rsidR="0007568C">
        <w:rPr>
          <w:rFonts w:ascii="Times New Roman" w:eastAsia="Times New Roman" w:hAnsi="Times New Roman"/>
          <w:kern w:val="0"/>
          <w14:ligatures w14:val="none"/>
        </w:rPr>
        <w:t xml:space="preserve"> </w:t>
      </w:r>
    </w:p>
    <w:p w14:paraId="61B31D0F" w14:textId="77777777" w:rsidR="00211544" w:rsidRPr="00211544" w:rsidRDefault="00211544" w:rsidP="00211544">
      <w:pPr>
        <w:numPr>
          <w:ilvl w:val="0"/>
          <w:numId w:val="1"/>
        </w:numPr>
        <w:spacing w:before="120" w:after="120" w:line="240" w:lineRule="auto"/>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În situația în care operatorul desfășoară mai multe activități, inclusiv alte servicii de utilitate publică, cheltuielile indirecte şi cheltuielile generale ale operatorului se repartizează în tarifele fiecărei activități, proporțional cu ponderea valorii activității respective în total venituri realizate de către operator. Pentru aceste cheltuieli se precizează cheia de repartizare a acestora pe fiecare activitate.</w:t>
      </w:r>
    </w:p>
    <w:p w14:paraId="2F6EA357" w14:textId="6574C4CE" w:rsidR="00211544" w:rsidRDefault="00211544" w:rsidP="00211544">
      <w:pPr>
        <w:numPr>
          <w:ilvl w:val="0"/>
          <w:numId w:val="1"/>
        </w:numPr>
        <w:spacing w:before="120" w:after="120" w:line="240" w:lineRule="auto"/>
        <w:jc w:val="both"/>
        <w:rPr>
          <w:rFonts w:ascii="Times New Roman" w:eastAsia="Times New Roman" w:hAnsi="Times New Roman"/>
          <w:kern w:val="0"/>
          <w14:ligatures w14:val="none"/>
        </w:rPr>
      </w:pPr>
      <w:r w:rsidRPr="00211544">
        <w:rPr>
          <w:rFonts w:ascii="Times New Roman" w:eastAsia="Times New Roman" w:hAnsi="Times New Roman"/>
          <w:kern w:val="0"/>
          <w14:ligatures w14:val="none"/>
        </w:rPr>
        <w:t xml:space="preserve">Costurile aferente campaniilor de preluare </w:t>
      </w:r>
      <w:r w:rsidR="004D4F0E">
        <w:rPr>
          <w:rFonts w:ascii="Times New Roman" w:eastAsia="Times New Roman" w:hAnsi="Times New Roman"/>
          <w:kern w:val="0"/>
          <w14:ligatures w14:val="none"/>
        </w:rPr>
        <w:t xml:space="preserve">și de gestionare </w:t>
      </w:r>
      <w:r w:rsidRPr="00211544">
        <w:rPr>
          <w:rFonts w:ascii="Times New Roman" w:eastAsia="Times New Roman" w:hAnsi="Times New Roman"/>
          <w:kern w:val="0"/>
          <w14:ligatures w14:val="none"/>
        </w:rPr>
        <w:t>a deșeurilor voluminoase, periculoase și textile</w:t>
      </w:r>
      <w:r w:rsidR="004D4F0E">
        <w:rPr>
          <w:rFonts w:ascii="Times New Roman" w:eastAsia="Times New Roman" w:hAnsi="Times New Roman"/>
          <w:kern w:val="0"/>
          <w14:ligatures w14:val="none"/>
        </w:rPr>
        <w:t xml:space="preserve"> </w:t>
      </w:r>
      <w:r w:rsidRPr="00211544">
        <w:rPr>
          <w:rFonts w:ascii="Times New Roman" w:eastAsia="Times New Roman" w:hAnsi="Times New Roman"/>
          <w:kern w:val="0"/>
          <w14:ligatures w14:val="none"/>
        </w:rPr>
        <w:t>se vor evidenția separat și se vor include în costurile aferente tarifului de colectare și transport a deșeurilor reziduale în linia de cost 1.11.</w:t>
      </w:r>
    </w:p>
    <w:p w14:paraId="30DD15EF" w14:textId="11BB659A" w:rsidR="00894B1F" w:rsidRDefault="0001547C" w:rsidP="00894B1F">
      <w:pPr>
        <w:numPr>
          <w:ilvl w:val="0"/>
          <w:numId w:val="1"/>
        </w:numPr>
        <w:spacing w:before="120" w:after="120" w:line="240" w:lineRule="auto"/>
        <w:jc w:val="both"/>
        <w:rPr>
          <w:rFonts w:ascii="Times New Roman" w:eastAsia="Times New Roman" w:hAnsi="Times New Roman"/>
          <w:kern w:val="0"/>
          <w14:ligatures w14:val="none"/>
        </w:rPr>
      </w:pPr>
      <w:r>
        <w:rPr>
          <w:rFonts w:ascii="Times New Roman" w:eastAsia="Times New Roman" w:hAnsi="Times New Roman"/>
          <w:kern w:val="0"/>
          <w14:ligatures w14:val="none"/>
        </w:rPr>
        <w:t xml:space="preserve">Tarifele aplicate de ceilalți operatori pentru </w:t>
      </w:r>
      <w:r w:rsidR="00894B1F">
        <w:rPr>
          <w:rFonts w:ascii="Times New Roman" w:eastAsia="Times New Roman" w:hAnsi="Times New Roman"/>
          <w:kern w:val="0"/>
          <w14:ligatures w14:val="none"/>
        </w:rPr>
        <w:t>activitățile</w:t>
      </w:r>
      <w:r>
        <w:rPr>
          <w:rFonts w:ascii="Times New Roman" w:eastAsia="Times New Roman" w:hAnsi="Times New Roman"/>
          <w:kern w:val="0"/>
          <w14:ligatures w14:val="none"/>
        </w:rPr>
        <w:t xml:space="preserve"> </w:t>
      </w:r>
      <w:r w:rsidR="00894B1F">
        <w:rPr>
          <w:rFonts w:ascii="Times New Roman" w:eastAsia="Times New Roman" w:hAnsi="Times New Roman"/>
          <w:kern w:val="0"/>
          <w14:ligatures w14:val="none"/>
        </w:rPr>
        <w:t xml:space="preserve">prestate la nivelul SMID Vrancea sunt următoarele: </w:t>
      </w:r>
    </w:p>
    <w:tbl>
      <w:tblPr>
        <w:tblStyle w:val="TableGrid"/>
        <w:tblW w:w="0" w:type="auto"/>
        <w:tblLook w:val="04A0" w:firstRow="1" w:lastRow="0" w:firstColumn="1" w:lastColumn="0" w:noHBand="0" w:noVBand="1"/>
      </w:tblPr>
      <w:tblGrid>
        <w:gridCol w:w="4675"/>
        <w:gridCol w:w="4675"/>
      </w:tblGrid>
      <w:tr w:rsidR="00894B1F" w14:paraId="10B0628C" w14:textId="77777777" w:rsidTr="00894B1F">
        <w:tc>
          <w:tcPr>
            <w:tcW w:w="4675" w:type="dxa"/>
          </w:tcPr>
          <w:p w14:paraId="54696F39" w14:textId="5D5F8C3A" w:rsidR="00894B1F" w:rsidRDefault="00004BA1" w:rsidP="00894B1F">
            <w:pPr>
              <w:spacing w:before="120" w:after="120"/>
              <w:jc w:val="both"/>
              <w:rPr>
                <w:rFonts w:ascii="Times New Roman" w:eastAsia="Times New Roman" w:hAnsi="Times New Roman"/>
                <w:kern w:val="0"/>
                <w14:ligatures w14:val="none"/>
              </w:rPr>
            </w:pPr>
            <w:r>
              <w:rPr>
                <w:rFonts w:ascii="Times New Roman" w:eastAsia="Times New Roman" w:hAnsi="Times New Roman"/>
                <w:kern w:val="0"/>
                <w14:ligatures w14:val="none"/>
              </w:rPr>
              <w:t>Tip tarif a</w:t>
            </w:r>
            <w:r w:rsidR="00894B1F">
              <w:rPr>
                <w:rFonts w:ascii="Times New Roman" w:eastAsia="Times New Roman" w:hAnsi="Times New Roman"/>
                <w:kern w:val="0"/>
                <w14:ligatures w14:val="none"/>
              </w:rPr>
              <w:t xml:space="preserve">ctivitate </w:t>
            </w:r>
          </w:p>
        </w:tc>
        <w:tc>
          <w:tcPr>
            <w:tcW w:w="4675" w:type="dxa"/>
          </w:tcPr>
          <w:p w14:paraId="6BDCCCF9" w14:textId="2F60DB08" w:rsidR="00894B1F" w:rsidRDefault="00894B1F" w:rsidP="00004BA1">
            <w:pPr>
              <w:spacing w:before="120" w:after="120"/>
              <w:jc w:val="center"/>
              <w:rPr>
                <w:rFonts w:ascii="Times New Roman" w:eastAsia="Times New Roman" w:hAnsi="Times New Roman"/>
                <w:kern w:val="0"/>
                <w14:ligatures w14:val="none"/>
              </w:rPr>
            </w:pPr>
            <w:r>
              <w:rPr>
                <w:rFonts w:ascii="Times New Roman" w:eastAsia="Times New Roman" w:hAnsi="Times New Roman"/>
                <w:kern w:val="0"/>
                <w14:ligatures w14:val="none"/>
              </w:rPr>
              <w:t>Tarif lei/tonă, fără TVA</w:t>
            </w:r>
          </w:p>
        </w:tc>
      </w:tr>
      <w:tr w:rsidR="00894B1F" w14:paraId="3C901787" w14:textId="77777777" w:rsidTr="00894B1F">
        <w:tc>
          <w:tcPr>
            <w:tcW w:w="4675" w:type="dxa"/>
          </w:tcPr>
          <w:p w14:paraId="59C15286" w14:textId="081B640D" w:rsidR="00894B1F" w:rsidRDefault="00685F98" w:rsidP="00004BA1">
            <w:pPr>
              <w:spacing w:before="120" w:after="120"/>
              <w:jc w:val="both"/>
              <w:rPr>
                <w:rFonts w:ascii="Times New Roman" w:eastAsia="Times New Roman" w:hAnsi="Times New Roman"/>
                <w:kern w:val="0"/>
                <w14:ligatures w14:val="none"/>
              </w:rPr>
            </w:pPr>
            <w:r w:rsidRPr="00685F98">
              <w:rPr>
                <w:rFonts w:ascii="Times New Roman" w:eastAsia="Times New Roman" w:hAnsi="Times New Roman"/>
                <w:kern w:val="0"/>
                <w14:ligatures w14:val="none"/>
              </w:rPr>
              <w:t>tarif pentru transferul deşeurilor de hârtie, metal, plastic şi sticlă</w:t>
            </w:r>
            <w:r>
              <w:rPr>
                <w:rFonts w:ascii="Times New Roman" w:eastAsia="Times New Roman" w:hAnsi="Times New Roman"/>
                <w:kern w:val="0"/>
                <w14:ligatures w14:val="none"/>
              </w:rPr>
              <w:t xml:space="preserve">, </w:t>
            </w:r>
            <w:r w:rsidRPr="00685F98">
              <w:rPr>
                <w:rFonts w:ascii="Times New Roman" w:eastAsia="Times New Roman" w:hAnsi="Times New Roman"/>
                <w:kern w:val="0"/>
                <w14:ligatures w14:val="none"/>
              </w:rPr>
              <w:t xml:space="preserve">deşeurilor reziduale, inclusiv a reziduurilor menajere şi similare şi al altor deşeuri colectate separat decât cele de hârtie, metal, plastic şi sticlă </w:t>
            </w:r>
            <w:r>
              <w:rPr>
                <w:rFonts w:ascii="Times New Roman" w:eastAsia="Times New Roman" w:hAnsi="Times New Roman"/>
                <w:kern w:val="0"/>
                <w14:ligatures w14:val="none"/>
              </w:rPr>
              <w:t xml:space="preserve">și </w:t>
            </w:r>
            <w:r w:rsidRPr="00685F98">
              <w:rPr>
                <w:rFonts w:ascii="Times New Roman" w:eastAsia="Times New Roman" w:hAnsi="Times New Roman"/>
                <w:kern w:val="0"/>
                <w14:ligatures w14:val="none"/>
              </w:rPr>
              <w:t>pentru transferul biodeşeurilor</w:t>
            </w:r>
          </w:p>
        </w:tc>
        <w:tc>
          <w:tcPr>
            <w:tcW w:w="4675" w:type="dxa"/>
          </w:tcPr>
          <w:p w14:paraId="6887CB53" w14:textId="23FA4A1E" w:rsidR="00894B1F" w:rsidRDefault="00A26576" w:rsidP="00C369E9">
            <w:pPr>
              <w:spacing w:before="120" w:after="120"/>
              <w:jc w:val="center"/>
              <w:rPr>
                <w:rFonts w:ascii="Times New Roman" w:eastAsia="Times New Roman" w:hAnsi="Times New Roman"/>
                <w:kern w:val="0"/>
                <w14:ligatures w14:val="none"/>
              </w:rPr>
            </w:pPr>
            <w:r w:rsidRPr="00A26576">
              <w:rPr>
                <w:rFonts w:ascii="Times New Roman" w:eastAsia="Times New Roman" w:hAnsi="Times New Roman"/>
                <w:kern w:val="0"/>
                <w14:ligatures w14:val="none"/>
              </w:rPr>
              <w:t>116.33</w:t>
            </w:r>
          </w:p>
        </w:tc>
      </w:tr>
      <w:tr w:rsidR="00894B1F" w14:paraId="5D329FF9" w14:textId="77777777" w:rsidTr="00894B1F">
        <w:tc>
          <w:tcPr>
            <w:tcW w:w="4675" w:type="dxa"/>
          </w:tcPr>
          <w:p w14:paraId="7EE370DA" w14:textId="4B80D65C" w:rsidR="00894B1F" w:rsidRDefault="00A26576" w:rsidP="00894B1F">
            <w:pPr>
              <w:spacing w:before="120" w:after="120"/>
              <w:jc w:val="both"/>
              <w:rPr>
                <w:rFonts w:ascii="Times New Roman" w:eastAsia="Times New Roman" w:hAnsi="Times New Roman"/>
                <w:kern w:val="0"/>
                <w14:ligatures w14:val="none"/>
              </w:rPr>
            </w:pPr>
            <w:r w:rsidRPr="00A26576">
              <w:rPr>
                <w:rFonts w:ascii="Times New Roman" w:eastAsia="Times New Roman" w:hAnsi="Times New Roman"/>
                <w:kern w:val="0"/>
                <w14:ligatures w14:val="none"/>
              </w:rPr>
              <w:t>tariful pentru sortarea deşeurilor de hârtie, carton, metal, plastic şi sticlă colectate separat</w:t>
            </w:r>
          </w:p>
        </w:tc>
        <w:tc>
          <w:tcPr>
            <w:tcW w:w="4675" w:type="dxa"/>
          </w:tcPr>
          <w:p w14:paraId="766D6117" w14:textId="1FB0884D" w:rsidR="00894B1F" w:rsidRDefault="00C130B4" w:rsidP="00C369E9">
            <w:pPr>
              <w:spacing w:before="120" w:after="120"/>
              <w:jc w:val="center"/>
              <w:rPr>
                <w:rFonts w:ascii="Times New Roman" w:eastAsia="Times New Roman" w:hAnsi="Times New Roman"/>
                <w:kern w:val="0"/>
                <w14:ligatures w14:val="none"/>
              </w:rPr>
            </w:pPr>
            <w:r w:rsidRPr="00C130B4">
              <w:rPr>
                <w:rFonts w:ascii="Times New Roman" w:eastAsia="Times New Roman" w:hAnsi="Times New Roman"/>
                <w:kern w:val="0"/>
                <w14:ligatures w14:val="none"/>
              </w:rPr>
              <w:t>150.62</w:t>
            </w:r>
          </w:p>
        </w:tc>
      </w:tr>
      <w:tr w:rsidR="00894B1F" w14:paraId="6874A142" w14:textId="77777777" w:rsidTr="00894B1F">
        <w:tc>
          <w:tcPr>
            <w:tcW w:w="4675" w:type="dxa"/>
          </w:tcPr>
          <w:p w14:paraId="7A2FED98" w14:textId="07A6329C" w:rsidR="00894B1F" w:rsidRDefault="00C130B4" w:rsidP="00894B1F">
            <w:pPr>
              <w:spacing w:before="120" w:after="120"/>
              <w:jc w:val="both"/>
              <w:rPr>
                <w:rFonts w:ascii="Times New Roman" w:eastAsia="Times New Roman" w:hAnsi="Times New Roman"/>
                <w:kern w:val="0"/>
                <w14:ligatures w14:val="none"/>
              </w:rPr>
            </w:pPr>
            <w:r w:rsidRPr="00C130B4">
              <w:rPr>
                <w:rFonts w:ascii="Times New Roman" w:eastAsia="Times New Roman" w:hAnsi="Times New Roman"/>
                <w:kern w:val="0"/>
                <w14:ligatures w14:val="none"/>
              </w:rPr>
              <w:t>tariful de compostare</w:t>
            </w:r>
          </w:p>
        </w:tc>
        <w:tc>
          <w:tcPr>
            <w:tcW w:w="4675" w:type="dxa"/>
          </w:tcPr>
          <w:p w14:paraId="1BBACDC4" w14:textId="770B3B0C" w:rsidR="00894B1F" w:rsidRDefault="004A2758" w:rsidP="00C369E9">
            <w:pPr>
              <w:spacing w:before="120" w:after="120"/>
              <w:jc w:val="center"/>
              <w:rPr>
                <w:rFonts w:ascii="Times New Roman" w:eastAsia="Times New Roman" w:hAnsi="Times New Roman"/>
                <w:kern w:val="0"/>
                <w14:ligatures w14:val="none"/>
              </w:rPr>
            </w:pPr>
            <w:r w:rsidRPr="004A2758">
              <w:rPr>
                <w:rFonts w:ascii="Times New Roman" w:eastAsia="Times New Roman" w:hAnsi="Times New Roman"/>
                <w:kern w:val="0"/>
                <w14:ligatures w14:val="none"/>
              </w:rPr>
              <w:t>229.02</w:t>
            </w:r>
          </w:p>
        </w:tc>
      </w:tr>
      <w:tr w:rsidR="00894B1F" w14:paraId="6BD82065" w14:textId="77777777" w:rsidTr="00894B1F">
        <w:tc>
          <w:tcPr>
            <w:tcW w:w="4675" w:type="dxa"/>
          </w:tcPr>
          <w:p w14:paraId="5D5B3EA3" w14:textId="56BE275D" w:rsidR="00894B1F" w:rsidRDefault="004A2758" w:rsidP="00894B1F">
            <w:pPr>
              <w:spacing w:before="120" w:after="120"/>
              <w:jc w:val="both"/>
              <w:rPr>
                <w:rFonts w:ascii="Times New Roman" w:eastAsia="Times New Roman" w:hAnsi="Times New Roman"/>
                <w:kern w:val="0"/>
                <w14:ligatures w14:val="none"/>
              </w:rPr>
            </w:pPr>
            <w:r w:rsidRPr="004A2758">
              <w:rPr>
                <w:rFonts w:ascii="Times New Roman" w:eastAsia="Times New Roman" w:hAnsi="Times New Roman"/>
                <w:kern w:val="0"/>
                <w14:ligatures w14:val="none"/>
              </w:rPr>
              <w:t>tariful de depozitare</w:t>
            </w:r>
          </w:p>
        </w:tc>
        <w:tc>
          <w:tcPr>
            <w:tcW w:w="4675" w:type="dxa"/>
          </w:tcPr>
          <w:p w14:paraId="107ECF01" w14:textId="344A81FC" w:rsidR="00894B1F" w:rsidRDefault="00C369E9" w:rsidP="00C369E9">
            <w:pPr>
              <w:spacing w:before="120" w:after="120"/>
              <w:jc w:val="center"/>
              <w:rPr>
                <w:rFonts w:ascii="Times New Roman" w:eastAsia="Times New Roman" w:hAnsi="Times New Roman"/>
                <w:kern w:val="0"/>
                <w14:ligatures w14:val="none"/>
              </w:rPr>
            </w:pPr>
            <w:r w:rsidRPr="00C369E9">
              <w:rPr>
                <w:rFonts w:ascii="Times New Roman" w:eastAsia="Times New Roman" w:hAnsi="Times New Roman"/>
                <w:kern w:val="0"/>
                <w14:ligatures w14:val="none"/>
              </w:rPr>
              <w:t>113.17</w:t>
            </w:r>
          </w:p>
        </w:tc>
      </w:tr>
    </w:tbl>
    <w:p w14:paraId="4ED43E5C" w14:textId="5F9A7C66" w:rsidR="00211544" w:rsidRDefault="00211544" w:rsidP="00C369E9">
      <w:pPr>
        <w:spacing w:before="120" w:after="120" w:line="240" w:lineRule="auto"/>
        <w:jc w:val="both"/>
      </w:pPr>
    </w:p>
    <w:sectPr w:rsidR="00211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B42677"/>
    <w:multiLevelType w:val="multilevel"/>
    <w:tmpl w:val="A824E31C"/>
    <w:lvl w:ilvl="0">
      <w:start w:val="1"/>
      <w:numFmt w:val="decimal"/>
      <w:lvlText w:val="Art.%1"/>
      <w:lvlJc w:val="left"/>
      <w:pPr>
        <w:ind w:left="0" w:firstLine="0"/>
      </w:pPr>
      <w:rPr>
        <w:rFonts w:ascii="Times New Roman" w:hAnsi="Times New Roman" w:cs="Times New Roman" w:hint="default"/>
        <w:b w:val="0"/>
        <w:bCs w:val="0"/>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928" w:hanging="360"/>
      </w:pPr>
    </w:lvl>
    <w:lvl w:ilvl="2">
      <w:start w:val="1"/>
      <w:numFmt w:val="lowerRoman"/>
      <w:lvlText w:val="%3."/>
      <w:lvlJc w:val="right"/>
      <w:pPr>
        <w:ind w:left="1154" w:hanging="360"/>
      </w:pPr>
    </w:lvl>
    <w:lvl w:ilvl="3">
      <w:start w:val="1"/>
      <w:numFmt w:val="lowerLetter"/>
      <w:lvlText w:val="%4)"/>
      <w:lvlJc w:val="left"/>
      <w:pPr>
        <w:ind w:left="1948" w:hanging="360"/>
      </w:p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D4C3181"/>
    <w:multiLevelType w:val="multilevel"/>
    <w:tmpl w:val="E1DA1F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84337374">
    <w:abstractNumId w:val="0"/>
  </w:num>
  <w:num w:numId="2" w16cid:durableId="1310400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544"/>
    <w:rsid w:val="00004BA1"/>
    <w:rsid w:val="0001547C"/>
    <w:rsid w:val="0007568C"/>
    <w:rsid w:val="000E79E4"/>
    <w:rsid w:val="001B37A4"/>
    <w:rsid w:val="001C0063"/>
    <w:rsid w:val="00211544"/>
    <w:rsid w:val="003B65CE"/>
    <w:rsid w:val="00402E36"/>
    <w:rsid w:val="004403BA"/>
    <w:rsid w:val="004A2758"/>
    <w:rsid w:val="004D4F0E"/>
    <w:rsid w:val="004E259E"/>
    <w:rsid w:val="004E7004"/>
    <w:rsid w:val="005E77F5"/>
    <w:rsid w:val="006324CE"/>
    <w:rsid w:val="00657465"/>
    <w:rsid w:val="00685F98"/>
    <w:rsid w:val="00812CE3"/>
    <w:rsid w:val="00822D6A"/>
    <w:rsid w:val="00894B1F"/>
    <w:rsid w:val="00993D69"/>
    <w:rsid w:val="009B5301"/>
    <w:rsid w:val="00A26576"/>
    <w:rsid w:val="00A513A8"/>
    <w:rsid w:val="00A706B3"/>
    <w:rsid w:val="00AE4DE9"/>
    <w:rsid w:val="00C130B4"/>
    <w:rsid w:val="00C369E9"/>
    <w:rsid w:val="00C42369"/>
    <w:rsid w:val="00C92810"/>
    <w:rsid w:val="00D742B9"/>
    <w:rsid w:val="00E00D2E"/>
    <w:rsid w:val="00E23B47"/>
    <w:rsid w:val="00EE2D97"/>
    <w:rsid w:val="00FA3D04"/>
    <w:rsid w:val="00FE6E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D161A"/>
  <w15:chartTrackingRefBased/>
  <w15:docId w15:val="{19C1A39F-D5F8-4687-B18D-F0576A0DC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Bidi" w:eastAsiaTheme="minorHAnsi" w:hAnsiTheme="majorBidi"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2115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15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154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154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1154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1154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1154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154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154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544"/>
    <w:rPr>
      <w:rFonts w:asciiTheme="majorHAnsi" w:eastAsiaTheme="majorEastAsia" w:hAnsiTheme="majorHAnsi" w:cstheme="majorBidi"/>
      <w:color w:val="0F4761" w:themeColor="accent1" w:themeShade="BF"/>
      <w:sz w:val="40"/>
      <w:szCs w:val="40"/>
      <w:lang w:val="ro-RO"/>
    </w:rPr>
  </w:style>
  <w:style w:type="character" w:customStyle="1" w:styleId="Heading2Char">
    <w:name w:val="Heading 2 Char"/>
    <w:basedOn w:val="DefaultParagraphFont"/>
    <w:link w:val="Heading2"/>
    <w:uiPriority w:val="9"/>
    <w:semiHidden/>
    <w:rsid w:val="00211544"/>
    <w:rPr>
      <w:rFonts w:asciiTheme="majorHAnsi" w:eastAsiaTheme="majorEastAsia" w:hAnsiTheme="majorHAnsi" w:cstheme="majorBidi"/>
      <w:color w:val="0F4761" w:themeColor="accent1" w:themeShade="BF"/>
      <w:sz w:val="32"/>
      <w:szCs w:val="32"/>
      <w:lang w:val="ro-RO"/>
    </w:rPr>
  </w:style>
  <w:style w:type="character" w:customStyle="1" w:styleId="Heading3Char">
    <w:name w:val="Heading 3 Char"/>
    <w:basedOn w:val="DefaultParagraphFont"/>
    <w:link w:val="Heading3"/>
    <w:uiPriority w:val="9"/>
    <w:semiHidden/>
    <w:rsid w:val="00211544"/>
    <w:rPr>
      <w:rFonts w:asciiTheme="minorHAnsi" w:eastAsiaTheme="majorEastAsia" w:hAnsiTheme="minorHAnsi" w:cstheme="majorBidi"/>
      <w:color w:val="0F4761" w:themeColor="accent1" w:themeShade="BF"/>
      <w:sz w:val="28"/>
      <w:szCs w:val="28"/>
      <w:lang w:val="ro-RO"/>
    </w:rPr>
  </w:style>
  <w:style w:type="character" w:customStyle="1" w:styleId="Heading4Char">
    <w:name w:val="Heading 4 Char"/>
    <w:basedOn w:val="DefaultParagraphFont"/>
    <w:link w:val="Heading4"/>
    <w:uiPriority w:val="9"/>
    <w:semiHidden/>
    <w:rsid w:val="00211544"/>
    <w:rPr>
      <w:rFonts w:asciiTheme="minorHAnsi" w:eastAsiaTheme="majorEastAsia" w:hAnsiTheme="minorHAnsi" w:cstheme="majorBidi"/>
      <w:i/>
      <w:iCs/>
      <w:color w:val="0F4761" w:themeColor="accent1" w:themeShade="BF"/>
      <w:lang w:val="ro-RO"/>
    </w:rPr>
  </w:style>
  <w:style w:type="character" w:customStyle="1" w:styleId="Heading5Char">
    <w:name w:val="Heading 5 Char"/>
    <w:basedOn w:val="DefaultParagraphFont"/>
    <w:link w:val="Heading5"/>
    <w:uiPriority w:val="9"/>
    <w:semiHidden/>
    <w:rsid w:val="00211544"/>
    <w:rPr>
      <w:rFonts w:asciiTheme="minorHAnsi" w:eastAsiaTheme="majorEastAsia" w:hAnsiTheme="minorHAnsi" w:cstheme="majorBidi"/>
      <w:color w:val="0F4761" w:themeColor="accent1" w:themeShade="BF"/>
      <w:lang w:val="ro-RO"/>
    </w:rPr>
  </w:style>
  <w:style w:type="character" w:customStyle="1" w:styleId="Heading6Char">
    <w:name w:val="Heading 6 Char"/>
    <w:basedOn w:val="DefaultParagraphFont"/>
    <w:link w:val="Heading6"/>
    <w:uiPriority w:val="9"/>
    <w:semiHidden/>
    <w:rsid w:val="00211544"/>
    <w:rPr>
      <w:rFonts w:asciiTheme="minorHAnsi" w:eastAsiaTheme="majorEastAsia" w:hAnsiTheme="minorHAnsi" w:cstheme="majorBidi"/>
      <w:i/>
      <w:iCs/>
      <w:color w:val="595959" w:themeColor="text1" w:themeTint="A6"/>
      <w:lang w:val="ro-RO"/>
    </w:rPr>
  </w:style>
  <w:style w:type="character" w:customStyle="1" w:styleId="Heading7Char">
    <w:name w:val="Heading 7 Char"/>
    <w:basedOn w:val="DefaultParagraphFont"/>
    <w:link w:val="Heading7"/>
    <w:uiPriority w:val="9"/>
    <w:semiHidden/>
    <w:rsid w:val="00211544"/>
    <w:rPr>
      <w:rFonts w:asciiTheme="minorHAnsi" w:eastAsiaTheme="majorEastAsia" w:hAnsiTheme="minorHAnsi" w:cstheme="majorBidi"/>
      <w:color w:val="595959" w:themeColor="text1" w:themeTint="A6"/>
      <w:lang w:val="ro-RO"/>
    </w:rPr>
  </w:style>
  <w:style w:type="character" w:customStyle="1" w:styleId="Heading8Char">
    <w:name w:val="Heading 8 Char"/>
    <w:basedOn w:val="DefaultParagraphFont"/>
    <w:link w:val="Heading8"/>
    <w:uiPriority w:val="9"/>
    <w:semiHidden/>
    <w:rsid w:val="00211544"/>
    <w:rPr>
      <w:rFonts w:asciiTheme="minorHAnsi" w:eastAsiaTheme="majorEastAsia" w:hAnsiTheme="minorHAnsi" w:cstheme="majorBidi"/>
      <w:i/>
      <w:iCs/>
      <w:color w:val="272727" w:themeColor="text1" w:themeTint="D8"/>
      <w:lang w:val="ro-RO"/>
    </w:rPr>
  </w:style>
  <w:style w:type="character" w:customStyle="1" w:styleId="Heading9Char">
    <w:name w:val="Heading 9 Char"/>
    <w:basedOn w:val="DefaultParagraphFont"/>
    <w:link w:val="Heading9"/>
    <w:uiPriority w:val="9"/>
    <w:semiHidden/>
    <w:rsid w:val="00211544"/>
    <w:rPr>
      <w:rFonts w:asciiTheme="minorHAnsi" w:eastAsiaTheme="majorEastAsia" w:hAnsiTheme="minorHAnsi" w:cstheme="majorBidi"/>
      <w:color w:val="272727" w:themeColor="text1" w:themeTint="D8"/>
      <w:lang w:val="ro-RO"/>
    </w:rPr>
  </w:style>
  <w:style w:type="paragraph" w:styleId="Title">
    <w:name w:val="Title"/>
    <w:basedOn w:val="Normal"/>
    <w:next w:val="Normal"/>
    <w:link w:val="TitleChar"/>
    <w:uiPriority w:val="10"/>
    <w:qFormat/>
    <w:rsid w:val="002115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1544"/>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21154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1544"/>
    <w:rPr>
      <w:rFonts w:asciiTheme="minorHAnsi" w:eastAsiaTheme="majorEastAsia" w:hAnsiTheme="minorHAnsi"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211544"/>
    <w:pPr>
      <w:spacing w:before="160"/>
      <w:jc w:val="center"/>
    </w:pPr>
    <w:rPr>
      <w:i/>
      <w:iCs/>
      <w:color w:val="404040" w:themeColor="text1" w:themeTint="BF"/>
    </w:rPr>
  </w:style>
  <w:style w:type="character" w:customStyle="1" w:styleId="QuoteChar">
    <w:name w:val="Quote Char"/>
    <w:basedOn w:val="DefaultParagraphFont"/>
    <w:link w:val="Quote"/>
    <w:uiPriority w:val="29"/>
    <w:rsid w:val="00211544"/>
    <w:rPr>
      <w:i/>
      <w:iCs/>
      <w:color w:val="404040" w:themeColor="text1" w:themeTint="BF"/>
      <w:lang w:val="ro-RO"/>
    </w:rPr>
  </w:style>
  <w:style w:type="paragraph" w:styleId="ListParagraph">
    <w:name w:val="List Paragraph"/>
    <w:basedOn w:val="Normal"/>
    <w:uiPriority w:val="34"/>
    <w:qFormat/>
    <w:rsid w:val="00211544"/>
    <w:pPr>
      <w:ind w:left="720"/>
      <w:contextualSpacing/>
    </w:pPr>
  </w:style>
  <w:style w:type="character" w:styleId="IntenseEmphasis">
    <w:name w:val="Intense Emphasis"/>
    <w:basedOn w:val="DefaultParagraphFont"/>
    <w:uiPriority w:val="21"/>
    <w:qFormat/>
    <w:rsid w:val="00211544"/>
    <w:rPr>
      <w:i/>
      <w:iCs/>
      <w:color w:val="0F4761" w:themeColor="accent1" w:themeShade="BF"/>
    </w:rPr>
  </w:style>
  <w:style w:type="paragraph" w:styleId="IntenseQuote">
    <w:name w:val="Intense Quote"/>
    <w:basedOn w:val="Normal"/>
    <w:next w:val="Normal"/>
    <w:link w:val="IntenseQuoteChar"/>
    <w:uiPriority w:val="30"/>
    <w:qFormat/>
    <w:rsid w:val="002115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1544"/>
    <w:rPr>
      <w:i/>
      <w:iCs/>
      <w:color w:val="0F4761" w:themeColor="accent1" w:themeShade="BF"/>
      <w:lang w:val="ro-RO"/>
    </w:rPr>
  </w:style>
  <w:style w:type="character" w:styleId="IntenseReference">
    <w:name w:val="Intense Reference"/>
    <w:basedOn w:val="DefaultParagraphFont"/>
    <w:uiPriority w:val="32"/>
    <w:qFormat/>
    <w:rsid w:val="00211544"/>
    <w:rPr>
      <w:b/>
      <w:bCs/>
      <w:smallCaps/>
      <w:color w:val="0F4761" w:themeColor="accent1" w:themeShade="BF"/>
      <w:spacing w:val="5"/>
    </w:rPr>
  </w:style>
  <w:style w:type="table" w:styleId="TableGrid">
    <w:name w:val="Table Grid"/>
    <w:basedOn w:val="TableNormal"/>
    <w:uiPriority w:val="39"/>
    <w:rsid w:val="00894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aadr.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2048</Words>
  <Characters>11679</Characters>
  <Application>Microsoft Office Word</Application>
  <DocSecurity>0</DocSecurity>
  <Lines>97</Lines>
  <Paragraphs>27</Paragraphs>
  <ScaleCrop>false</ScaleCrop>
  <Company/>
  <LinksUpToDate>false</LinksUpToDate>
  <CharactersWithSpaces>13700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calin trelea</dc:creator>
  <cp:keywords/>
  <dc:description/>
  <cp:lastModifiedBy>calin trelea</cp:lastModifiedBy>
  <cp:revision>2</cp:revision>
  <dcterms:created xsi:type="dcterms:W3CDTF">2025-05-10T18:47:00Z</dcterms:created>
  <dcterms:modified xsi:type="dcterms:W3CDTF">2025-05-10T18:47:00Z</dcterms:modified>
</cp:coreProperties>
</file>