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FF0E7" w14:textId="1AE79C99" w:rsidR="008C6FE5" w:rsidRDefault="008C6FE5" w:rsidP="008C6FE5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D101A5"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  <w:t>ROMÂNIA</w:t>
      </w:r>
      <w:r w:rsidRPr="00D101A5"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  <w:tab/>
      </w:r>
      <w:r w:rsidRPr="00D101A5"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  <w:tab/>
      </w:r>
      <w:r w:rsidRPr="00D101A5"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  <w:tab/>
      </w:r>
      <w:r w:rsidRPr="00D101A5"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  <w:tab/>
      </w:r>
      <w:r w:rsidRPr="00D101A5"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               </w:t>
      </w:r>
      <w:r w:rsidRPr="00D101A5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</w:t>
      </w:r>
    </w:p>
    <w:p w14:paraId="441FF0E8" w14:textId="77777777" w:rsidR="008C6FE5" w:rsidRPr="005028EA" w:rsidRDefault="008C6FE5" w:rsidP="008C6FE5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D101A5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>JUDEȚUL VRANCEA</w:t>
      </w:r>
    </w:p>
    <w:p w14:paraId="441FF0E9" w14:textId="77777777" w:rsidR="008C6FE5" w:rsidRPr="00D101A5" w:rsidRDefault="008C6FE5" w:rsidP="008C6FE5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/>
          <w14:ligatures w14:val="none"/>
        </w:rPr>
      </w:pPr>
      <w:r w:rsidRPr="00D101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/>
          <w14:ligatures w14:val="none"/>
        </w:rPr>
        <w:t xml:space="preserve">CONSILIUL JUDEȚEAN                                                                    </w:t>
      </w:r>
    </w:p>
    <w:p w14:paraId="441FF0EA" w14:textId="77777777" w:rsidR="008C6FE5" w:rsidRPr="00D101A5" w:rsidRDefault="008C6FE5" w:rsidP="008C6FE5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/>
          <w14:ligatures w14:val="none"/>
        </w:rPr>
      </w:pPr>
      <w:r w:rsidRPr="00D101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/>
          <w14:ligatures w14:val="none"/>
        </w:rPr>
        <w:t xml:space="preserve"> </w:t>
      </w:r>
    </w:p>
    <w:p w14:paraId="441FF0EB" w14:textId="3F0FE85C" w:rsidR="008C6FE5" w:rsidRPr="00D101A5" w:rsidRDefault="008C6FE5" w:rsidP="008C6FE5">
      <w:pPr>
        <w:spacing w:after="0" w:line="240" w:lineRule="auto"/>
        <w:ind w:left="454" w:right="45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ro-RO"/>
          <w14:ligatures w14:val="none"/>
        </w:rPr>
      </w:pPr>
      <w:r w:rsidRPr="00D101A5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ro-RO"/>
          <w14:ligatures w14:val="none"/>
        </w:rPr>
        <w:t xml:space="preserve">HOTĂRÂREA </w:t>
      </w:r>
      <w:r w:rsidR="005B1BF6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ro-RO"/>
          <w14:ligatures w14:val="none"/>
        </w:rPr>
        <w:t xml:space="preserve"> nr.109</w:t>
      </w:r>
    </w:p>
    <w:p w14:paraId="441FF0EC" w14:textId="56BE185F" w:rsidR="008C6FE5" w:rsidRDefault="008C6FE5" w:rsidP="008C6FE5">
      <w:pPr>
        <w:spacing w:after="0" w:line="240" w:lineRule="auto"/>
        <w:ind w:left="454" w:right="45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ro-RO"/>
          <w14:ligatures w14:val="none"/>
        </w:rPr>
        <w:t>d</w:t>
      </w:r>
      <w:r w:rsidRPr="00D101A5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ro-RO"/>
          <w14:ligatures w14:val="none"/>
        </w:rPr>
        <w:t>in</w:t>
      </w:r>
      <w:r w:rsidR="005B1BF6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ro-RO"/>
          <w14:ligatures w14:val="none"/>
        </w:rPr>
        <w:t xml:space="preserve"> 5 iunie </w:t>
      </w:r>
      <w:r w:rsidRPr="00D101A5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ro-RO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ro-RO"/>
          <w14:ligatures w14:val="none"/>
        </w:rPr>
        <w:t>5</w:t>
      </w:r>
      <w:bookmarkStart w:id="0" w:name="_Hlk77673108"/>
      <w:bookmarkStart w:id="1" w:name="_Hlk77672212"/>
      <w:bookmarkStart w:id="2" w:name="_Hlk77670694"/>
    </w:p>
    <w:p w14:paraId="441FF0ED" w14:textId="77777777" w:rsidR="008C6FE5" w:rsidRPr="003124CF" w:rsidRDefault="008C6FE5" w:rsidP="008C6FE5">
      <w:pPr>
        <w:spacing w:after="0" w:line="240" w:lineRule="auto"/>
        <w:ind w:left="454" w:right="45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pt-BR"/>
          <w14:ligatures w14:val="none"/>
        </w:rPr>
      </w:pPr>
    </w:p>
    <w:p w14:paraId="441FF0EF" w14:textId="035D9456" w:rsidR="008C6FE5" w:rsidRPr="008751B2" w:rsidRDefault="008C6FE5" w:rsidP="00FE3B07">
      <w:pPr>
        <w:spacing w:after="139" w:line="249" w:lineRule="auto"/>
        <w:ind w:left="990" w:hanging="99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</w:pPr>
      <w:r w:rsidRPr="00D101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o-RO" w:eastAsia="ro-RO"/>
          <w14:ligatures w14:val="none"/>
        </w:rPr>
        <w:t>privind:</w:t>
      </w:r>
      <w:r w:rsidRPr="00D10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</w:t>
      </w:r>
      <w:bookmarkStart w:id="3" w:name="_Hlk137549401"/>
      <w:r w:rsidRPr="00D101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înscrierea sub aspect valoric și cantitativ în evidențele contabile ale Unității Administrativ-Teritoriale Județul Vrancea, a masei lemnoase aferentă unui număr de </w:t>
      </w:r>
      <w:r w:rsidRPr="008505E5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1666 arbori cu un volum brut de 792,4 </w:t>
      </w:r>
      <w:proofErr w:type="spellStart"/>
      <w:r w:rsidRPr="008505E5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m.c.</w:t>
      </w:r>
      <w:bookmarkEnd w:id="0"/>
      <w:bookmarkEnd w:id="1"/>
      <w:bookmarkEnd w:id="2"/>
      <w:bookmarkEnd w:id="3"/>
      <w:proofErr w:type="spellEnd"/>
    </w:p>
    <w:p w14:paraId="441FF0F0" w14:textId="77777777" w:rsidR="008C6FE5" w:rsidRDefault="008C6FE5" w:rsidP="005B1BF6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</w:pPr>
      <w:r w:rsidRPr="006222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o-RO" w:eastAsia="ro-RO"/>
          <w14:ligatures w14:val="none"/>
        </w:rPr>
        <w:t>Consiliul Județean Vrancea,</w:t>
      </w:r>
    </w:p>
    <w:p w14:paraId="441FF0F1" w14:textId="77777777" w:rsidR="008C6FE5" w:rsidRDefault="008C6FE5" w:rsidP="005B1BF6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</w:pPr>
      <w:r w:rsidRPr="006222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o-RO" w:eastAsia="ro-RO"/>
          <w14:ligatures w14:val="none"/>
        </w:rPr>
        <w:t>- v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o-RO" w:eastAsia="ro-RO"/>
          <w14:ligatures w14:val="none"/>
        </w:rPr>
        <w:t>ăzâ</w:t>
      </w:r>
      <w:r w:rsidRPr="006222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o-RO" w:eastAsia="ro-RO"/>
          <w14:ligatures w14:val="none"/>
        </w:rPr>
        <w:t xml:space="preserve">nd  </w:t>
      </w:r>
      <w:r w:rsidRPr="006222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referatul nr.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 8553/22.05.</w:t>
      </w:r>
      <w:r w:rsidRPr="006222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5</w:t>
      </w:r>
      <w:r w:rsidRPr="006222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al Direcției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Economice și Achiziții Publice privind </w:t>
      </w:r>
      <w:r w:rsidRPr="008441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înscrierea sub aspect valoric și cantitativ în evidențele contabile ale Unității Administrativ-Teritoriale Județul Vrancea, a masei lemnoase aferentă unui număr de </w:t>
      </w:r>
      <w:r w:rsidRPr="008505E5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1666</w:t>
      </w:r>
      <w:r w:rsidRPr="008441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arbori</w:t>
      </w:r>
      <w:r w:rsidRPr="00323B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cu un volum brut de </w:t>
      </w:r>
      <w:r w:rsidRPr="008505E5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792,4 </w:t>
      </w:r>
      <w:proofErr w:type="spellStart"/>
      <w:r w:rsidRPr="00323B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m.c.</w:t>
      </w:r>
      <w:proofErr w:type="spellEnd"/>
      <w:r w:rsidRPr="00323B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situați  în zona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de agrement Crâng Petrești, în vederea valorificării; </w:t>
      </w:r>
    </w:p>
    <w:p w14:paraId="441FF0F2" w14:textId="77777777" w:rsidR="008C6FE5" w:rsidRDefault="008C6FE5" w:rsidP="008C6FE5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-</w:t>
      </w:r>
      <w:r w:rsidRPr="006222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o-RO" w:eastAsia="ro-RO"/>
          <w14:ligatures w14:val="none"/>
        </w:rPr>
        <w:t xml:space="preserve">ținând cont de </w:t>
      </w:r>
      <w:r w:rsidRPr="006222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act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ele </w:t>
      </w:r>
      <w:r w:rsidRPr="006222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de punere în </w:t>
      </w:r>
      <w:r w:rsidRPr="004F5EE6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valoare (APV) nr. 4991/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2500117600330/</w:t>
      </w:r>
      <w:r w:rsidRPr="004F5EE6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03.03.3025, (APV) nr. 4992/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2500117600340/</w:t>
      </w:r>
      <w:r w:rsidRPr="004F5EE6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03.03.2025, respectiv (APV) nr.4993/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2500117600350/</w:t>
      </w:r>
      <w:r w:rsidRPr="004F5EE6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03.03.2025 </w:t>
      </w:r>
      <w:r w:rsidRPr="006222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eliberat de Direcția Silvică Vrancea-Ocolul Silvic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Focșani;</w:t>
      </w:r>
    </w:p>
    <w:p w14:paraId="441FF0F3" w14:textId="77777777" w:rsidR="008C6FE5" w:rsidRDefault="008C6FE5" w:rsidP="008C6FE5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</w:t>
      </w:r>
      <w:r w:rsidRPr="006222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o-RO" w:eastAsia="ro-RO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o-RO" w:eastAsia="ro-RO"/>
          <w14:ligatures w14:val="none"/>
        </w:rPr>
        <w:t xml:space="preserve"> </w:t>
      </w:r>
      <w:r w:rsidRPr="006222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o-RO" w:eastAsia="ro-RO"/>
          <w14:ligatures w14:val="none"/>
        </w:rPr>
        <w:t>luând act de</w:t>
      </w:r>
      <w:r w:rsidRPr="006222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prețurile de referință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pentru masa lemnoasă aferentă actelor de punere în valoare </w:t>
      </w:r>
      <w:r w:rsidRPr="006222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conform adresei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</w:t>
      </w:r>
      <w:r w:rsidRPr="006222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din partea Direcției Silvice Vrancea-Ocolul Silvic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Focșani</w:t>
      </w:r>
      <w:r w:rsidRPr="006222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</w:t>
      </w:r>
      <w:r w:rsidRPr="00FE4885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nr.2037/25.03.2025, înregistrată la Consiliul Județean Vrancea sub nr.4214/25.03.2025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;</w:t>
      </w:r>
    </w:p>
    <w:p w14:paraId="441FF0F4" w14:textId="77777777" w:rsidR="008C6FE5" w:rsidRPr="00B16B06" w:rsidRDefault="008C6FE5" w:rsidP="008C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o-RO" w:eastAsia="ro-RO"/>
          <w14:ligatures w14:val="none"/>
        </w:rPr>
        <w:t xml:space="preserve"> </w:t>
      </w:r>
      <w:r w:rsidRPr="007C546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o-RO" w:eastAsia="ro-RO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o-RO" w:eastAsia="ro-RO"/>
          <w14:ligatures w14:val="none"/>
        </w:rPr>
        <w:t xml:space="preserve"> ținând cont de</w:t>
      </w:r>
      <w:r w:rsidRPr="007C546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o-RO" w:eastAsia="ro-RO"/>
          <w14:ligatures w14:val="none"/>
        </w:rPr>
        <w:t xml:space="preserve"> </w:t>
      </w:r>
      <w:r w:rsidRPr="007C54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prevederil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e Legii nr</w:t>
      </w:r>
      <w:r w:rsidRPr="00FD3FC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o-RO" w:eastAsia="ro-RO"/>
          <w14:ligatures w14:val="none"/>
        </w:rPr>
        <w:t xml:space="preserve">. 331/2024 privind </w:t>
      </w:r>
      <w:r w:rsidRPr="007C54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Codul Silvic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, </w:t>
      </w:r>
      <w:r w:rsidRPr="00B16B06">
        <w:rPr>
          <w:rFonts w:ascii="Times New Roman" w:hAnsi="Times New Roman" w:cs="Times New Roman"/>
          <w:color w:val="000000"/>
          <w:sz w:val="28"/>
          <w:szCs w:val="28"/>
          <w:lang w:val="ro-RO"/>
        </w:rPr>
        <w:t>cu modificările și completările ulterioare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;</w:t>
      </w:r>
    </w:p>
    <w:p w14:paraId="441FF0F5" w14:textId="77777777" w:rsidR="008C6FE5" w:rsidRDefault="008C6FE5" w:rsidP="008C6F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- </w:t>
      </w:r>
      <w:r w:rsidRPr="00222DF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o-RO" w:eastAsia="ro-RO"/>
          <w14:ligatures w14:val="none"/>
        </w:rPr>
        <w:t>având în vedere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</w:t>
      </w:r>
      <w:r w:rsidRPr="00B16B06">
        <w:rPr>
          <w:rFonts w:ascii="Times New Roman" w:hAnsi="Times New Roman" w:cs="Times New Roman"/>
          <w:color w:val="000000"/>
          <w:sz w:val="28"/>
          <w:szCs w:val="28"/>
          <w:lang w:val="ro-RO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.G</w:t>
      </w:r>
      <w:r w:rsidRPr="00B16B06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nr. 715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/05.10.</w:t>
      </w:r>
      <w:r w:rsidRPr="00B16B06">
        <w:rPr>
          <w:rFonts w:ascii="Times New Roman" w:hAnsi="Times New Roman" w:cs="Times New Roman"/>
          <w:color w:val="000000"/>
          <w:sz w:val="28"/>
          <w:szCs w:val="28"/>
          <w:lang w:val="ro-RO"/>
        </w:rPr>
        <w:t>2017, pentru aprobarea Regulamentului de valorificare a masei lemnoase din fondul forestier proprietate publică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Pr="00B16B06">
        <w:rPr>
          <w:rFonts w:ascii="Times New Roman" w:hAnsi="Times New Roman" w:cs="Times New Roman"/>
          <w:color w:val="000000"/>
          <w:sz w:val="28"/>
          <w:szCs w:val="28"/>
          <w:lang w:val="ro-RO"/>
        </w:rPr>
        <w:t>cu modificările și completările ulterioare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;</w:t>
      </w:r>
    </w:p>
    <w:p w14:paraId="712571FE" w14:textId="714CC0F6" w:rsidR="00FE3B07" w:rsidRPr="00FE3B07" w:rsidRDefault="00FE3B07" w:rsidP="004D455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B07">
        <w:rPr>
          <w:rFonts w:ascii="Times New Roman" w:hAnsi="Times New Roman" w:cs="Times New Roman"/>
          <w:bCs/>
          <w:sz w:val="28"/>
          <w:szCs w:val="28"/>
        </w:rPr>
        <w:t>-</w:t>
      </w:r>
      <w:r w:rsidRPr="00FE3B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3B07">
        <w:rPr>
          <w:rFonts w:ascii="Times New Roman" w:hAnsi="Times New Roman" w:cs="Times New Roman"/>
          <w:b/>
          <w:sz w:val="28"/>
          <w:szCs w:val="28"/>
        </w:rPr>
        <w:t>luând</w:t>
      </w:r>
      <w:proofErr w:type="spellEnd"/>
      <w:r w:rsidRPr="00FE3B07">
        <w:rPr>
          <w:rFonts w:ascii="Times New Roman" w:hAnsi="Times New Roman" w:cs="Times New Roman"/>
          <w:b/>
          <w:sz w:val="28"/>
          <w:szCs w:val="28"/>
        </w:rPr>
        <w:t xml:space="preserve"> act de</w:t>
      </w:r>
      <w:r w:rsidRPr="00FE3B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3B07">
        <w:rPr>
          <w:rFonts w:ascii="Times New Roman" w:hAnsi="Times New Roman" w:cs="Times New Roman"/>
          <w:bCs/>
          <w:sz w:val="28"/>
          <w:szCs w:val="28"/>
        </w:rPr>
        <w:t>raportul</w:t>
      </w:r>
      <w:proofErr w:type="spellEnd"/>
      <w:r w:rsidRPr="00FE3B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3B07">
        <w:rPr>
          <w:rFonts w:ascii="Times New Roman" w:hAnsi="Times New Roman" w:cs="Times New Roman"/>
          <w:bCs/>
          <w:sz w:val="28"/>
          <w:szCs w:val="28"/>
        </w:rPr>
        <w:t>compartimentului</w:t>
      </w:r>
      <w:proofErr w:type="spellEnd"/>
      <w:r w:rsidRPr="00FE3B07">
        <w:rPr>
          <w:rFonts w:ascii="Times New Roman" w:hAnsi="Times New Roman" w:cs="Times New Roman"/>
          <w:bCs/>
          <w:sz w:val="28"/>
          <w:szCs w:val="28"/>
        </w:rPr>
        <w:t xml:space="preserve"> de resort din </w:t>
      </w:r>
      <w:proofErr w:type="spellStart"/>
      <w:r w:rsidRPr="00FE3B07">
        <w:rPr>
          <w:rFonts w:ascii="Times New Roman" w:hAnsi="Times New Roman" w:cs="Times New Roman"/>
          <w:bCs/>
          <w:sz w:val="28"/>
          <w:szCs w:val="28"/>
        </w:rPr>
        <w:t>cadrul</w:t>
      </w:r>
      <w:proofErr w:type="spellEnd"/>
      <w:r w:rsidRPr="00FE3B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3B07">
        <w:rPr>
          <w:rFonts w:ascii="Times New Roman" w:hAnsi="Times New Roman" w:cs="Times New Roman"/>
          <w:bCs/>
          <w:sz w:val="28"/>
          <w:szCs w:val="28"/>
        </w:rPr>
        <w:t>Consiliului</w:t>
      </w:r>
      <w:proofErr w:type="spellEnd"/>
      <w:r w:rsidRPr="00FE3B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3B07">
        <w:rPr>
          <w:rFonts w:ascii="Times New Roman" w:hAnsi="Times New Roman" w:cs="Times New Roman"/>
          <w:bCs/>
          <w:sz w:val="28"/>
          <w:szCs w:val="28"/>
        </w:rPr>
        <w:t>Județean</w:t>
      </w:r>
      <w:proofErr w:type="spellEnd"/>
      <w:r w:rsidRPr="00FE3B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3B07">
        <w:rPr>
          <w:rFonts w:ascii="Times New Roman" w:hAnsi="Times New Roman" w:cs="Times New Roman"/>
          <w:bCs/>
          <w:sz w:val="28"/>
          <w:szCs w:val="28"/>
        </w:rPr>
        <w:t>Vrancea</w:t>
      </w:r>
      <w:proofErr w:type="spellEnd"/>
      <w:r w:rsidRPr="00FE3B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3B07"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 w:rsidRPr="00FE3B07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FE3B07">
        <w:rPr>
          <w:rFonts w:ascii="Times New Roman" w:hAnsi="Times New Roman" w:cs="Times New Roman"/>
          <w:bCs/>
          <w:sz w:val="28"/>
          <w:szCs w:val="28"/>
        </w:rPr>
        <w:t>avizul</w:t>
      </w:r>
      <w:proofErr w:type="spellEnd"/>
      <w:r w:rsidRPr="00FE3B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3B07">
        <w:rPr>
          <w:rFonts w:ascii="Times New Roman" w:hAnsi="Times New Roman" w:cs="Times New Roman"/>
          <w:bCs/>
          <w:sz w:val="28"/>
          <w:szCs w:val="28"/>
        </w:rPr>
        <w:t>comisiei</w:t>
      </w:r>
      <w:proofErr w:type="spellEnd"/>
      <w:r w:rsidRPr="00FE3B07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FE3B07">
        <w:rPr>
          <w:rFonts w:ascii="Times New Roman" w:hAnsi="Times New Roman" w:cs="Times New Roman"/>
          <w:bCs/>
          <w:sz w:val="28"/>
          <w:szCs w:val="28"/>
        </w:rPr>
        <w:t>specialitate</w:t>
      </w:r>
      <w:proofErr w:type="spellEnd"/>
      <w:r w:rsidRPr="00FE3B07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FE3B07">
        <w:rPr>
          <w:rFonts w:ascii="Times New Roman" w:hAnsi="Times New Roman" w:cs="Times New Roman"/>
          <w:bCs/>
          <w:sz w:val="28"/>
          <w:szCs w:val="28"/>
        </w:rPr>
        <w:t>Consiliului</w:t>
      </w:r>
      <w:proofErr w:type="spellEnd"/>
      <w:r w:rsidRPr="00FE3B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3B07">
        <w:rPr>
          <w:rFonts w:ascii="Times New Roman" w:hAnsi="Times New Roman" w:cs="Times New Roman"/>
          <w:bCs/>
          <w:sz w:val="28"/>
          <w:szCs w:val="28"/>
        </w:rPr>
        <w:t>Județean</w:t>
      </w:r>
      <w:proofErr w:type="spellEnd"/>
      <w:r w:rsidRPr="00FE3B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E3B07">
        <w:rPr>
          <w:rFonts w:ascii="Times New Roman" w:hAnsi="Times New Roman" w:cs="Times New Roman"/>
          <w:bCs/>
          <w:sz w:val="28"/>
          <w:szCs w:val="28"/>
        </w:rPr>
        <w:t>Vrancea</w:t>
      </w:r>
      <w:proofErr w:type="spellEnd"/>
      <w:r w:rsidRPr="00FE3B07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Pr="00FE3B0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441FF0F6" w14:textId="77777777" w:rsidR="008C6FE5" w:rsidRPr="00B16B06" w:rsidRDefault="008C6FE5" w:rsidP="004D45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B16B06">
        <w:rPr>
          <w:color w:val="000000"/>
          <w:sz w:val="27"/>
          <w:szCs w:val="27"/>
          <w:lang w:val="ro-RO"/>
        </w:rPr>
        <w:t xml:space="preserve"> </w:t>
      </w:r>
      <w:r w:rsidRPr="00B16B06">
        <w:rPr>
          <w:color w:val="000000"/>
          <w:sz w:val="27"/>
          <w:szCs w:val="27"/>
          <w:lang w:val="en-GB"/>
        </w:rPr>
        <w:t xml:space="preserve">- </w:t>
      </w:r>
      <w:proofErr w:type="spellStart"/>
      <w:r w:rsidRPr="00B16B06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în</w:t>
      </w:r>
      <w:proofErr w:type="spellEnd"/>
      <w:r w:rsidRPr="00B16B06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B16B06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baza</w:t>
      </w:r>
      <w:proofErr w:type="spellEnd"/>
      <w:r w:rsidRPr="00B16B06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B16B06">
        <w:rPr>
          <w:rFonts w:ascii="Times New Roman" w:hAnsi="Times New Roman" w:cs="Times New Roman"/>
          <w:color w:val="000000"/>
          <w:sz w:val="28"/>
          <w:szCs w:val="28"/>
          <w:lang w:val="en-GB"/>
        </w:rPr>
        <w:t>prevederilor</w:t>
      </w:r>
      <w:proofErr w:type="spellEnd"/>
      <w:r w:rsidRPr="00B16B06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9C0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art.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173</w:t>
      </w:r>
      <w:r w:rsidRPr="009C0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alin. (1) lit. „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f</w:t>
      </w:r>
      <w:r w:rsidRPr="009C0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”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și art.182 </w:t>
      </w:r>
      <w:r w:rsidRPr="009C0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din O.U.G. nr. 57/2019 privind Codul Administrativ, cu modificările și completările ulterioare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;</w:t>
      </w:r>
    </w:p>
    <w:p w14:paraId="441FF0F7" w14:textId="77777777" w:rsidR="008C6FE5" w:rsidRDefault="008C6FE5" w:rsidP="004D455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- </w:t>
      </w:r>
      <w:r w:rsidRPr="009C07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o-RO" w:eastAsia="ro-RO"/>
          <w14:ligatures w14:val="none"/>
        </w:rPr>
        <w:t>în temeiul</w:t>
      </w:r>
      <w:r w:rsidRPr="009C0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art. 196 alin. (1) lit. „a” din O.U.G. nr. 57/2019 privind Codul Administrativ, cu modificările și completările ulterioare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,</w:t>
      </w:r>
    </w:p>
    <w:p w14:paraId="441FF0F8" w14:textId="77777777" w:rsidR="008C6FE5" w:rsidRPr="00634A8B" w:rsidRDefault="008C6FE5" w:rsidP="008C6FE5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</w:pPr>
    </w:p>
    <w:p w14:paraId="441FF0F9" w14:textId="77777777" w:rsidR="008C6FE5" w:rsidRPr="007C5469" w:rsidRDefault="008C6FE5" w:rsidP="008C6FE5">
      <w:pPr>
        <w:spacing w:after="0" w:line="480" w:lineRule="auto"/>
        <w:ind w:right="90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o-RO" w:eastAsia="ro-RO"/>
          <w14:ligatures w14:val="none"/>
        </w:rPr>
      </w:pPr>
      <w:r w:rsidRPr="007C546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o-RO" w:eastAsia="ro-RO"/>
          <w14:ligatures w14:val="none"/>
        </w:rPr>
        <w:t>HOTĂRĂȘTE:</w:t>
      </w:r>
    </w:p>
    <w:p w14:paraId="441FF0FA" w14:textId="77777777" w:rsidR="008C6FE5" w:rsidRDefault="008C6FE5" w:rsidP="008C6FE5">
      <w:pPr>
        <w:spacing w:after="0" w:line="240" w:lineRule="auto"/>
        <w:ind w:left="-142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</w:pPr>
      <w:r w:rsidRPr="007C546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o-RO" w:eastAsia="ro-RO"/>
          <w14:ligatures w14:val="none"/>
        </w:rPr>
        <w:t>Art.1</w:t>
      </w:r>
      <w:r w:rsidRPr="007C54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Înscrierea sub aspect valoric și cantitativ în evidențele contabile ale Unității Administrativ-Teritoriale Județul Vrancea, a masei lemnoase aferentă unui număr de </w:t>
      </w:r>
      <w:r w:rsidRPr="004F5EE6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lastRenderedPageBreak/>
        <w:t xml:space="preserve">1666 arbori cu un volum brut de 792,4 </w:t>
      </w:r>
      <w:proofErr w:type="spellStart"/>
      <w:r w:rsidRPr="004F5EE6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m.c</w:t>
      </w:r>
      <w:r w:rsidRPr="007C54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.</w:t>
      </w:r>
      <w:proofErr w:type="spellEnd"/>
      <w:r w:rsidRPr="007C54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situați  în zona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de agrement Crâng Petrești </w:t>
      </w:r>
      <w:r w:rsidRPr="007C54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aflat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a</w:t>
      </w:r>
      <w:r w:rsidRPr="007C54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în domeniul public al județului Vrancea, în vederea valorificării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.</w:t>
      </w:r>
    </w:p>
    <w:p w14:paraId="441FF0FB" w14:textId="77777777" w:rsidR="008C6FE5" w:rsidRPr="007C5469" w:rsidRDefault="008C6FE5" w:rsidP="008C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</w:pPr>
    </w:p>
    <w:p w14:paraId="441FF0FC" w14:textId="6F3C15F3" w:rsidR="008C6FE5" w:rsidRPr="008002DE" w:rsidRDefault="008C6FE5" w:rsidP="008C6FE5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</w:pPr>
      <w:r w:rsidRPr="007C546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o-RO" w:eastAsia="ro-RO"/>
          <w14:ligatures w14:val="none"/>
        </w:rPr>
        <w:t>Art.2</w:t>
      </w:r>
      <w:r w:rsidRPr="007C54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</w:t>
      </w:r>
      <w:r w:rsidRPr="007C54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Aprobarea valorii de inventar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totale pentru  cei </w:t>
      </w:r>
      <w:r w:rsidRPr="0018205C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1.666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de arbori </w:t>
      </w:r>
      <w:r w:rsidRPr="0018205C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cu un volum total de 792,4 </w:t>
      </w:r>
      <w:proofErr w:type="spellStart"/>
      <w:r w:rsidRPr="0018205C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m.c.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, care va fi  înscrisă</w:t>
      </w:r>
      <w:r w:rsidRPr="007C54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în evidențele contabile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ale UAT Jude</w:t>
      </w:r>
      <w:r w:rsidR="00FE3B07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ț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ul Vrancea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în cuantum </w:t>
      </w:r>
      <w:r w:rsidRPr="00390EE0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de </w:t>
      </w:r>
      <w:r w:rsidRPr="00390E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  <w14:ligatures w14:val="none"/>
        </w:rPr>
        <w:t>123.922,7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  <w14:ligatures w14:val="none"/>
        </w:rPr>
        <w:t>3</w:t>
      </w:r>
      <w:r w:rsidRPr="00390E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  <w14:ligatures w14:val="none"/>
        </w:rPr>
        <w:t xml:space="preserve"> lei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, după cum urmează</w:t>
      </w:r>
      <w:r w:rsidRPr="0018205C">
        <w:rPr>
          <w:rFonts w:ascii="Times New Roman" w:eastAsia="Times New Roman" w:hAnsi="Times New Roman" w:cs="Times New Roman"/>
          <w:kern w:val="0"/>
          <w:sz w:val="28"/>
          <w:szCs w:val="28"/>
          <w:lang w:val="pt-BR" w:eastAsia="ro-RO"/>
          <w14:ligatures w14:val="none"/>
        </w:rPr>
        <w:t>:</w:t>
      </w:r>
    </w:p>
    <w:p w14:paraId="441FF0FD" w14:textId="77777777" w:rsidR="008C6FE5" w:rsidRPr="0018205C" w:rsidRDefault="008C6FE5" w:rsidP="008C6FE5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</w:pPr>
      <w:r w:rsidRPr="0018205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  <w14:ligatures w14:val="none"/>
        </w:rPr>
        <w:t>46.625,23 lei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  <w14:ligatures w14:val="none"/>
        </w:rPr>
        <w:t xml:space="preserve"> </w:t>
      </w:r>
      <w:r w:rsidRPr="0018205C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</w:t>
      </w:r>
      <w:r w:rsidRPr="0018205C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535 arbori cu un volum brut de 299.86 </w:t>
      </w:r>
      <w:proofErr w:type="spellStart"/>
      <w:r w:rsidRPr="0018205C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m.c</w:t>
      </w:r>
      <w:proofErr w:type="spellEnd"/>
      <w:r w:rsidRPr="00182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;</w:t>
      </w:r>
    </w:p>
    <w:p w14:paraId="441FF0FE" w14:textId="77777777" w:rsidR="008C6FE5" w:rsidRPr="0018205C" w:rsidRDefault="008C6FE5" w:rsidP="008C6FE5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</w:pPr>
      <w:r w:rsidRPr="00D35C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  <w14:ligatures w14:val="none"/>
        </w:rPr>
        <w:t>2.230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  <w14:ligatures w14:val="none"/>
        </w:rPr>
        <w:t>,00</w:t>
      </w:r>
      <w:r w:rsidRPr="00D35C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  <w14:ligatures w14:val="none"/>
        </w:rPr>
        <w:t xml:space="preserve"> lei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  <w14:ligatures w14:val="none"/>
        </w:rPr>
        <w:t xml:space="preserve">- </w:t>
      </w:r>
      <w:r w:rsidRPr="0018205C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51 de arbori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  <w14:ligatures w14:val="none"/>
        </w:rPr>
        <w:t xml:space="preserve"> </w:t>
      </w:r>
      <w:r w:rsidRPr="0018205C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cu un volum brut de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18</w:t>
      </w:r>
      <w:r w:rsidRPr="0018205C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</w:t>
      </w:r>
      <w:proofErr w:type="spellStart"/>
      <w:r w:rsidRPr="0018205C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m.c</w:t>
      </w:r>
      <w:proofErr w:type="spellEnd"/>
      <w:r w:rsidRPr="00182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;</w:t>
      </w:r>
    </w:p>
    <w:p w14:paraId="441FF0FF" w14:textId="77777777" w:rsidR="008C6FE5" w:rsidRPr="0018205C" w:rsidRDefault="008C6FE5" w:rsidP="008C6FE5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</w:pPr>
      <w:r w:rsidRPr="00D35C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  <w14:ligatures w14:val="none"/>
        </w:rPr>
        <w:t>75.067,50 lei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1080</w:t>
      </w:r>
      <w:r w:rsidRPr="0018205C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de arbori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  <w14:ligatures w14:val="none"/>
        </w:rPr>
        <w:t xml:space="preserve"> </w:t>
      </w:r>
      <w:r w:rsidRPr="0018205C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cu un volum brut de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474.54</w:t>
      </w:r>
      <w:r w:rsidRPr="0018205C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 xml:space="preserve"> </w:t>
      </w:r>
      <w:proofErr w:type="spellStart"/>
      <w:r w:rsidRPr="0018205C">
        <w:rPr>
          <w:rFonts w:ascii="Times New Roman" w:eastAsia="Times New Roman" w:hAnsi="Times New Roman" w:cs="Times New Roman"/>
          <w:kern w:val="0"/>
          <w:sz w:val="28"/>
          <w:szCs w:val="28"/>
          <w:lang w:val="ro-RO" w:eastAsia="ro-RO"/>
          <w14:ligatures w14:val="none"/>
        </w:rPr>
        <w:t>m.c</w:t>
      </w:r>
      <w:proofErr w:type="spellEnd"/>
      <w:r w:rsidRPr="001820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;</w:t>
      </w:r>
    </w:p>
    <w:p w14:paraId="441FF100" w14:textId="77777777" w:rsidR="008C6FE5" w:rsidRPr="007C5469" w:rsidRDefault="008C6FE5" w:rsidP="008C6FE5">
      <w:pPr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</w:pPr>
    </w:p>
    <w:p w14:paraId="441FF101" w14:textId="5901497C" w:rsidR="008C6FE5" w:rsidRPr="007C5469" w:rsidRDefault="008C6FE5" w:rsidP="008C6FE5">
      <w:pPr>
        <w:spacing w:after="0" w:line="240" w:lineRule="auto"/>
        <w:ind w:right="-138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</w:pPr>
      <w:r w:rsidRPr="007C546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o-RO" w:eastAsia="ro-RO"/>
          <w14:ligatures w14:val="none"/>
        </w:rPr>
        <w:t>Art.3</w:t>
      </w:r>
      <w:r w:rsidRPr="007C54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Prevederile prezentei hotărâri vor fi duse la îndeplinire de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Președintele</w:t>
      </w:r>
      <w:r w:rsidRPr="007C54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 Consiliului Județean Vrancea prin aparatul de specialitate și vor fi comunicate celor interesați de secretarul general al județului prin Serviciul administrație publică, Monitor Oficial Local și arhivă din cadrul Direcției </w:t>
      </w:r>
      <w:r w:rsidR="00FE3B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j</w:t>
      </w:r>
      <w:r w:rsidRPr="007C54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uridice și </w:t>
      </w:r>
      <w:r w:rsidR="00FE3B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a</w:t>
      </w:r>
      <w:r w:rsidRPr="007C54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 xml:space="preserve">dministrație </w:t>
      </w:r>
      <w:r w:rsidR="00FE3B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p</w:t>
      </w:r>
      <w:r w:rsidRPr="007C54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  <w:t>ublică.</w:t>
      </w:r>
    </w:p>
    <w:p w14:paraId="441FF102" w14:textId="77777777" w:rsidR="008C6FE5" w:rsidRPr="007C5469" w:rsidRDefault="008C6FE5" w:rsidP="008C6FE5">
      <w:pPr>
        <w:spacing w:after="0" w:line="240" w:lineRule="auto"/>
        <w:ind w:right="-138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</w:pPr>
    </w:p>
    <w:p w14:paraId="441FF103" w14:textId="77777777" w:rsidR="008C6FE5" w:rsidRDefault="008C6FE5" w:rsidP="008C6FE5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</w:pPr>
    </w:p>
    <w:p w14:paraId="441FF104" w14:textId="77777777" w:rsidR="008C6FE5" w:rsidRPr="007C5469" w:rsidRDefault="008C6FE5" w:rsidP="008C6FE5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</w:pPr>
    </w:p>
    <w:p w14:paraId="441FF105" w14:textId="77777777" w:rsidR="008C6FE5" w:rsidRPr="00D0050F" w:rsidRDefault="008C6FE5" w:rsidP="008C6FE5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  <w14:ligatures w14:val="none"/>
        </w:rPr>
      </w:pPr>
      <w:bookmarkStart w:id="4" w:name="_Hlk160541522"/>
      <w:bookmarkEnd w:id="4"/>
      <w:r w:rsidRPr="00D005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  <w14:ligatures w14:val="none"/>
        </w:rPr>
        <w:t>Președintele</w:t>
      </w:r>
    </w:p>
    <w:p w14:paraId="441FF106" w14:textId="77777777" w:rsidR="008C6FE5" w:rsidRPr="00D0050F" w:rsidRDefault="008C6FE5" w:rsidP="008C6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  <w14:ligatures w14:val="none"/>
        </w:rPr>
      </w:pPr>
      <w:r w:rsidRPr="00D005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  <w14:ligatures w14:val="none"/>
        </w:rPr>
        <w:t>Consiliului Județean Vrancea</w:t>
      </w:r>
    </w:p>
    <w:p w14:paraId="441FF107" w14:textId="77777777" w:rsidR="008C6FE5" w:rsidRPr="00B16B06" w:rsidRDefault="008C6FE5" w:rsidP="008C6FE5">
      <w:pPr>
        <w:tabs>
          <w:tab w:val="left" w:pos="8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D005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ro-RO"/>
          <w14:ligatures w14:val="none"/>
        </w:rPr>
        <w:t>Nicușor HALICI</w:t>
      </w:r>
    </w:p>
    <w:p w14:paraId="441FF108" w14:textId="77777777" w:rsidR="008C6FE5" w:rsidRPr="00B16B06" w:rsidRDefault="008C6FE5" w:rsidP="008C6FE5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441FF109" w14:textId="77777777" w:rsidR="008C6FE5" w:rsidRPr="00B16B06" w:rsidRDefault="008C6FE5" w:rsidP="008C6FE5">
      <w:pPr>
        <w:spacing w:after="0" w:line="240" w:lineRule="auto"/>
        <w:ind w:right="454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B16B0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   </w:t>
      </w:r>
    </w:p>
    <w:p w14:paraId="441FF10A" w14:textId="77777777" w:rsidR="008C6FE5" w:rsidRPr="00B16B06" w:rsidRDefault="008C6FE5" w:rsidP="008C6FE5">
      <w:pPr>
        <w:spacing w:after="0" w:line="240" w:lineRule="auto"/>
        <w:ind w:right="454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441FF10B" w14:textId="078D34C9" w:rsidR="008C6FE5" w:rsidRPr="00222DF6" w:rsidRDefault="008C6FE5" w:rsidP="008C6FE5">
      <w:pPr>
        <w:spacing w:after="0" w:line="240" w:lineRule="auto"/>
        <w:ind w:right="454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B16B0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                                                                                       </w:t>
      </w:r>
      <w:r w:rsidR="00FE3B07">
        <w:rPr>
          <w:rFonts w:ascii="Times New Roman" w:hAnsi="Times New Roman" w:cs="Times New Roman"/>
          <w:b/>
          <w:bCs/>
          <w:sz w:val="28"/>
          <w:szCs w:val="28"/>
          <w:lang w:val="pt-BR"/>
        </w:rPr>
        <w:t>Contrasemnează</w:t>
      </w:r>
      <w:r w:rsidRPr="00222DF6">
        <w:rPr>
          <w:rFonts w:ascii="Times New Roman" w:hAnsi="Times New Roman" w:cs="Times New Roman"/>
          <w:b/>
          <w:bCs/>
          <w:sz w:val="28"/>
          <w:szCs w:val="28"/>
          <w:lang w:val="pt-BR"/>
        </w:rPr>
        <w:t>,</w:t>
      </w:r>
    </w:p>
    <w:p w14:paraId="441FF10C" w14:textId="77777777" w:rsidR="008C6FE5" w:rsidRPr="00222DF6" w:rsidRDefault="008C6FE5" w:rsidP="008C6FE5">
      <w:pPr>
        <w:spacing w:after="0" w:line="240" w:lineRule="auto"/>
        <w:ind w:left="454" w:right="454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222DF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                                                                     Secretar general al județului</w:t>
      </w:r>
    </w:p>
    <w:p w14:paraId="441FF10D" w14:textId="4EC05E1D" w:rsidR="008C6FE5" w:rsidRPr="00307918" w:rsidRDefault="008C6FE5" w:rsidP="008C6FE5">
      <w:pPr>
        <w:spacing w:after="0" w:line="240" w:lineRule="auto"/>
        <w:ind w:left="454" w:right="454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o-RO" w:eastAsia="ro-RO"/>
          <w14:ligatures w14:val="none"/>
        </w:rPr>
      </w:pPr>
      <w:r w:rsidRPr="00222DF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                                                                                </w:t>
      </w:r>
      <w:r w:rsidR="00B061E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</w:t>
      </w:r>
      <w:r w:rsidRPr="00222DF6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Raluca Dan</w:t>
      </w:r>
    </w:p>
    <w:p w14:paraId="441FF10E" w14:textId="77777777" w:rsidR="00956367" w:rsidRDefault="00956367"/>
    <w:sectPr w:rsidR="00956367" w:rsidSect="00FE3B07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7F5D"/>
    <w:multiLevelType w:val="hybridMultilevel"/>
    <w:tmpl w:val="D7846E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2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7F"/>
    <w:rsid w:val="000571E7"/>
    <w:rsid w:val="000B3AFE"/>
    <w:rsid w:val="00341D7F"/>
    <w:rsid w:val="004D4556"/>
    <w:rsid w:val="005B1BF6"/>
    <w:rsid w:val="00620F35"/>
    <w:rsid w:val="008C6FE5"/>
    <w:rsid w:val="00956367"/>
    <w:rsid w:val="00B061E1"/>
    <w:rsid w:val="00B82C8F"/>
    <w:rsid w:val="00CF7CBE"/>
    <w:rsid w:val="00EC754B"/>
    <w:rsid w:val="00F83F6C"/>
    <w:rsid w:val="00FE0D62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F0E7"/>
  <w15:chartTrackingRefBased/>
  <w15:docId w15:val="{CB24DA35-6CD1-4216-854A-06346409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E5"/>
    <w:pPr>
      <w:spacing w:line="259" w:lineRule="auto"/>
    </w:pPr>
    <w:rPr>
      <w:sz w:val="22"/>
      <w:szCs w:val="22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341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41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41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41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4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41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41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41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41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41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41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41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41D7F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41D7F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41D7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41D7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41D7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41D7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41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4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41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4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4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41D7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41D7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41D7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4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41D7F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41D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Mățău Camelia</dc:creator>
  <cp:keywords/>
  <dc:description/>
  <cp:lastModifiedBy>Rali Veronica</cp:lastModifiedBy>
  <cp:revision>7</cp:revision>
  <dcterms:created xsi:type="dcterms:W3CDTF">2025-05-28T12:29:00Z</dcterms:created>
  <dcterms:modified xsi:type="dcterms:W3CDTF">2025-06-03T08:45:00Z</dcterms:modified>
</cp:coreProperties>
</file>