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EAA9" w14:textId="62CBC3FE" w:rsidR="00A33DD0" w:rsidRDefault="00A33DD0" w:rsidP="00C73589">
      <w:pPr>
        <w:spacing w:before="0" w:beforeAutospacing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0E145D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</w:t>
      </w:r>
      <w:r w:rsidR="0017782B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</w:t>
      </w:r>
    </w:p>
    <w:p w14:paraId="2853E2C3" w14:textId="06C8E1EA" w:rsidR="002E1C00" w:rsidRDefault="00A33DD0" w:rsidP="00C73589">
      <w:pPr>
        <w:spacing w:before="0" w:beforeAutospacing="0"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                                                </w:t>
      </w:r>
    </w:p>
    <w:p w14:paraId="081B5150" w14:textId="77777777" w:rsidR="00880E8C" w:rsidRDefault="00880E8C" w:rsidP="00C73589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</w:p>
    <w:p w14:paraId="18FC0E58" w14:textId="53A1FAB2" w:rsidR="00EE3F85" w:rsidRDefault="00EE3F85" w:rsidP="00C73589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ANUN</w:t>
      </w:r>
      <w:r w:rsidR="008E6781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Ț</w:t>
      </w:r>
      <w:r w:rsidR="00FC776D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PUBLICITAR</w:t>
      </w:r>
    </w:p>
    <w:p w14:paraId="002F195C" w14:textId="47B2409B" w:rsidR="00A33DD0" w:rsidRDefault="00EE3F85" w:rsidP="00FE6028">
      <w:pPr>
        <w:spacing w:before="0" w:beforeAutospacing="0" w:after="0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Privind licita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ț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i</w:t>
      </w:r>
      <w:r w:rsidR="00181EB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public</w:t>
      </w:r>
      <w:r w:rsidR="00181EB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ă 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deschis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ă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cu preselec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ț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ie, </w:t>
      </w:r>
      <w:r w:rsidR="00C5177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cu strigare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, având ca obiect vânzarea de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lemnoasă</w:t>
      </w:r>
      <w:proofErr w:type="spellEnd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picior</w:t>
      </w:r>
      <w:proofErr w:type="spellEnd"/>
    </w:p>
    <w:p w14:paraId="64C2DD67" w14:textId="77777777" w:rsidR="00880E8C" w:rsidRPr="002E1C00" w:rsidRDefault="00880E8C" w:rsidP="00FE6028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29EC883C" w14:textId="66B7EB7F" w:rsidR="006B35BA" w:rsidRPr="00A33DD0" w:rsidRDefault="000E145D" w:rsidP="00C73589">
      <w:pPr>
        <w:spacing w:before="0" w:beforeAutospacing="0" w:after="0"/>
        <w:ind w:left="5760"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 </w:t>
      </w:r>
      <w:r w:rsidR="0017782B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</w:t>
      </w:r>
    </w:p>
    <w:p w14:paraId="7AB9C05D" w14:textId="35A6F80E" w:rsid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Consiliul Județean Vrancea, cu sediul în strada Dimitrie Cantemir nr.1-3, tel.0237-616800; 0237-213057; fax: 0237-212228, organizează la sediul instituției etaj 1, Sala Delegației permanente, reluarea licitației publice cu preselecție, cu strigare, având ca obiect vânzarea masă lemnoasă pe picior </w:t>
      </w:r>
      <w:r w:rsidR="00880E8C">
        <w:rPr>
          <w:rFonts w:ascii="Times New Roman" w:hAnsi="Times New Roman" w:cs="Times New Roman"/>
          <w:sz w:val="28"/>
          <w:szCs w:val="28"/>
          <w:lang w:val="ro-RO"/>
        </w:rPr>
        <w:t xml:space="preserve">aflată în zona drumurilor județene DJ 205C și DJ 202E grupate în două loturi,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n conformitate cu prevederile H.G. nr. 715/2017 pentru aprobarea Regulamentului de valorificare a masei lemnoase din fondul forestier proprietate public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2827931" w14:textId="77777777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14:paraId="5B713425" w14:textId="44C115D5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1.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Înscrierile la </w:t>
      </w:r>
      <w:r w:rsidRPr="009D4668">
        <w:rPr>
          <w:rFonts w:ascii="Times New Roman" w:hAnsi="Times New Roman" w:cs="Times New Roman"/>
          <w:sz w:val="28"/>
          <w:szCs w:val="28"/>
          <w:lang w:val="ro-RO"/>
        </w:rPr>
        <w:t xml:space="preserve">preselecție se pot face până pe data de </w:t>
      </w:r>
      <w:r w:rsidR="00181EB5" w:rsidRPr="009D4668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9D466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81EB5" w:rsidRPr="009D4668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Pr="009D4668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181EB5" w:rsidRPr="009D466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9D4668">
        <w:rPr>
          <w:rFonts w:ascii="Times New Roman" w:hAnsi="Times New Roman" w:cs="Times New Roman"/>
          <w:sz w:val="28"/>
          <w:szCs w:val="28"/>
          <w:lang w:val="ro-RO"/>
        </w:rPr>
        <w:t>, orele 10:00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de către operatorii economici, la registratura Consiliului Județean Vrancea;</w:t>
      </w:r>
    </w:p>
    <w:p w14:paraId="20EA612F" w14:textId="5F20577A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2.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Preselecția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agenților economici care au depus documentația, va avea loc la sediul Consiliului Județean Vrancea, la data de 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10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02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orele 12:30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A9F1792" w14:textId="7FABFFA3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3.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Ședința de licitație/negociere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va avea loc la sediul Consiliului Județean Vrancea, etajul I, in sala delega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iei permanente pe data de 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17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02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</w:t>
      </w:r>
      <w:r w:rsidR="00181EB5"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9D466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orele 12:00;</w:t>
      </w:r>
    </w:p>
    <w:p w14:paraId="063614F6" w14:textId="607C4F57" w:rsid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4.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54E2">
        <w:rPr>
          <w:rFonts w:ascii="Times New Roman" w:hAnsi="Times New Roman" w:cs="Times New Roman"/>
          <w:sz w:val="28"/>
          <w:szCs w:val="28"/>
          <w:lang w:val="ro-RO"/>
        </w:rPr>
        <w:t xml:space="preserve">Pentru desfășurarea licitației este necesară participarea a minim 2(doi) ofertanți. Lotul rămas neadjudecat se supune negocierii, organizată în aceeași zi </w:t>
      </w:r>
      <w:r w:rsidR="00EC54E2"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imediat după încheierea licitației sau în ziua următoare acesteia. 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Negocierea se va face cu orice operator economic admis la licitație, care îndeplinește criteriile pentru a face ofertă și care solicită în scris aceasta</w:t>
      </w:r>
      <w:r w:rsidR="00EC54E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DF4640C" w14:textId="77777777" w:rsidR="00880E8C" w:rsidRPr="00F06C86" w:rsidRDefault="00880E8C" w:rsidP="00880E8C">
      <w:pPr>
        <w:autoSpaceDE w:val="0"/>
        <w:autoSpaceDN w:val="0"/>
        <w:adjustRightInd w:val="0"/>
        <w:spacing w:before="0" w:beforeAutospacing="0" w:after="0" w:line="254" w:lineRule="auto"/>
        <w:ind w:left="0" w:right="0" w:firstLine="144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ro-RO"/>
        </w:rPr>
      </w:pPr>
    </w:p>
    <w:p w14:paraId="7E9F7383" w14:textId="2AEAD255" w:rsidR="00880E8C" w:rsidRDefault="00880E8C" w:rsidP="00880E8C">
      <w:pPr>
        <w:autoSpaceDE w:val="0"/>
        <w:autoSpaceDN w:val="0"/>
        <w:adjustRightInd w:val="0"/>
        <w:spacing w:before="0" w:beforeAutospacing="0" w:after="0" w:line="254" w:lineRule="auto"/>
        <w:ind w:left="0" w:right="0" w:firstLine="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B95B6B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Procedura de vânzare: </w:t>
      </w:r>
    </w:p>
    <w:p w14:paraId="0D93D8A1" w14:textId="77777777" w:rsidR="00F06C86" w:rsidRPr="00F06C86" w:rsidRDefault="00F06C86" w:rsidP="00880E8C">
      <w:pPr>
        <w:autoSpaceDE w:val="0"/>
        <w:autoSpaceDN w:val="0"/>
        <w:adjustRightInd w:val="0"/>
        <w:spacing w:before="0" w:beforeAutospacing="0" w:after="0" w:line="254" w:lineRule="auto"/>
        <w:ind w:left="0" w:right="0" w:firstLine="144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ro-RO"/>
        </w:rPr>
      </w:pPr>
    </w:p>
    <w:p w14:paraId="130115D5" w14:textId="5F961DC8" w:rsidR="00880E8C" w:rsidRDefault="00880E8C" w:rsidP="00880E8C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Vânzarea se va face prin licitație publică cu preselecție, cu strigare, așa cum este reglementată prin H.G. 715/2017 cu privire la valorificarea masei lemnoase din fondul forestier proprietate publică către agenții economici,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98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D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prezentarea documentelor solicitate prin caietul de sarcini, în plic închis și sigilat.</w:t>
      </w:r>
    </w:p>
    <w:p w14:paraId="00729247" w14:textId="77777777" w:rsidR="00880E8C" w:rsidRPr="00FC776D" w:rsidRDefault="00880E8C" w:rsidP="00880E8C">
      <w:pPr>
        <w:kinsoku w:val="0"/>
        <w:overflowPunct w:val="0"/>
        <w:spacing w:before="0" w:beforeAutospacing="0" w:after="0" w:line="240" w:lineRule="auto"/>
        <w:ind w:left="0" w:righ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FC776D">
        <w:rPr>
          <w:rFonts w:ascii="Times New Roman" w:hAnsi="Times New Roman" w:cs="Times New Roman"/>
          <w:sz w:val="28"/>
          <w:szCs w:val="28"/>
          <w:lang w:val="ro-RO"/>
        </w:rPr>
        <w:t>Volumul brut de mas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lemnoas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ce se va licita este de </w:t>
      </w:r>
      <w:r>
        <w:rPr>
          <w:rFonts w:ascii="Times New Roman" w:hAnsi="Times New Roman" w:cs="Times New Roman"/>
          <w:sz w:val="28"/>
          <w:szCs w:val="28"/>
          <w:lang w:val="ro-RO"/>
        </w:rPr>
        <w:t>1308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mc, </w:t>
      </w:r>
      <w:r>
        <w:rPr>
          <w:rFonts w:ascii="Times New Roman" w:hAnsi="Times New Roman" w:cs="Times New Roman"/>
          <w:sz w:val="28"/>
          <w:szCs w:val="28"/>
          <w:lang w:val="ro-RO"/>
        </w:rPr>
        <w:t>specia plop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0B85A98" w14:textId="106113E6" w:rsidR="00FC776D" w:rsidRDefault="00FC776D" w:rsidP="00880E8C">
      <w:pPr>
        <w:kinsoku w:val="0"/>
        <w:overflowPunct w:val="0"/>
        <w:spacing w:before="0" w:beforeAutospacing="0" w:after="0" w:line="240" w:lineRule="auto"/>
        <w:ind w:left="0" w:righ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FC776D">
        <w:rPr>
          <w:rFonts w:ascii="Times New Roman" w:hAnsi="Times New Roman" w:cs="Times New Roman"/>
          <w:sz w:val="28"/>
          <w:szCs w:val="28"/>
          <w:lang w:val="ro-RO"/>
        </w:rPr>
        <w:t>Loturile care se vor licita, termenele de execu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ie a lucr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rilor precum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 garan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ia de participare la licita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ie (pentru fiecare lot), se prezinta astfel:</w:t>
      </w:r>
    </w:p>
    <w:p w14:paraId="47C61CD0" w14:textId="164C2318" w:rsid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0"/>
        <w:tblW w:w="10181" w:type="dxa"/>
        <w:tblInd w:w="-36" w:type="dxa"/>
        <w:tblCellMar>
          <w:top w:w="29" w:type="dxa"/>
          <w:left w:w="86" w:type="dxa"/>
          <w:right w:w="76" w:type="dxa"/>
        </w:tblCellMar>
        <w:tblLook w:val="04A0" w:firstRow="1" w:lastRow="0" w:firstColumn="1" w:lastColumn="0" w:noHBand="0" w:noVBand="1"/>
      </w:tblPr>
      <w:tblGrid>
        <w:gridCol w:w="531"/>
        <w:gridCol w:w="3660"/>
        <w:gridCol w:w="1792"/>
        <w:gridCol w:w="1705"/>
        <w:gridCol w:w="1177"/>
        <w:gridCol w:w="1316"/>
      </w:tblGrid>
      <w:tr w:rsidR="00C0436E" w14:paraId="7F604068" w14:textId="77777777" w:rsidTr="00E67A98">
        <w:trPr>
          <w:trHeight w:val="1053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358A" w14:textId="77777777" w:rsidR="00FC776D" w:rsidRPr="00FC776D" w:rsidRDefault="00FC776D" w:rsidP="002E531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7E1A262" w14:textId="77777777" w:rsidR="00FC776D" w:rsidRPr="00FC776D" w:rsidRDefault="00FC776D" w:rsidP="002E5314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6CBB" w14:textId="77777777" w:rsidR="00FC776D" w:rsidRPr="00FC776D" w:rsidRDefault="00FC776D" w:rsidP="002E5314">
            <w:pPr>
              <w:spacing w:line="259" w:lineRule="auto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Partida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27AF" w14:textId="75026350" w:rsidR="00FC776D" w:rsidRPr="00FC776D" w:rsidRDefault="00FC776D" w:rsidP="002E5314">
            <w:pPr>
              <w:spacing w:line="216" w:lineRule="auto"/>
              <w:ind w:left="302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 w:rsidR="00C0436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r arbori</w:t>
            </w:r>
          </w:p>
          <w:p w14:paraId="014E580B" w14:textId="77777777" w:rsidR="00FC776D" w:rsidRPr="00FC776D" w:rsidRDefault="00FC776D" w:rsidP="002E5314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-buc-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4DF3" w14:textId="41C22850" w:rsidR="00FC776D" w:rsidRPr="00FC776D" w:rsidRDefault="00FC776D" w:rsidP="00FC776D">
            <w:pPr>
              <w:spacing w:line="259" w:lineRule="auto"/>
              <w:ind w:left="102" w:right="111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Volum 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emnoas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6E">
              <w:rPr>
                <w:rFonts w:ascii="Times New Roman" w:hAnsi="Times New Roman" w:cs="Times New Roman"/>
                <w:sz w:val="24"/>
                <w:szCs w:val="24"/>
              </w:rPr>
              <w:t xml:space="preserve">brut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436E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5CFE" w14:textId="77777777" w:rsidR="0000115F" w:rsidRDefault="00FC776D" w:rsidP="002E53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Termen executie</w:t>
            </w:r>
          </w:p>
          <w:p w14:paraId="157F46B6" w14:textId="74217AE6" w:rsidR="00FC776D" w:rsidRPr="00FC776D" w:rsidRDefault="0000115F" w:rsidP="002E53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(zile)</w:t>
            </w:r>
            <w:r w:rsidR="00FC776D"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747B" w14:textId="77777777" w:rsidR="00FC776D" w:rsidRPr="00FC776D" w:rsidRDefault="00FC776D" w:rsidP="002E5314">
            <w:pPr>
              <w:spacing w:line="216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Garantie participare</w:t>
            </w:r>
          </w:p>
          <w:p w14:paraId="7B296DA5" w14:textId="77777777" w:rsidR="00FC776D" w:rsidRPr="00FC776D" w:rsidRDefault="00FC776D" w:rsidP="002E5314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>-Iei-</w:t>
            </w:r>
          </w:p>
        </w:tc>
      </w:tr>
      <w:tr w:rsidR="00C0436E" w14:paraId="6B1DE966" w14:textId="77777777" w:rsidTr="00E67A98">
        <w:trPr>
          <w:trHeight w:val="10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BA65" w14:textId="7669301A" w:rsidR="00FC776D" w:rsidRPr="00FC776D" w:rsidRDefault="00E67A98" w:rsidP="00E67A9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7AC0" w14:textId="2D229F2A" w:rsidR="00FC776D" w:rsidRPr="00FC776D" w:rsidRDefault="00FC776D" w:rsidP="002E5314">
            <w:pPr>
              <w:spacing w:line="259" w:lineRule="auto"/>
              <w:ind w:left="6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Lot 1 :</w:t>
            </w:r>
          </w:p>
          <w:p w14:paraId="2AC5AA86" w14:textId="4D04E977" w:rsidR="00FC776D" w:rsidRPr="00FC776D" w:rsidRDefault="00FC776D" w:rsidP="00FC77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sz w:val="24"/>
                <w:szCs w:val="24"/>
              </w:rPr>
              <w:t xml:space="preserve">DJ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205C</w:t>
            </w:r>
            <w:r w:rsidR="00E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98">
              <w:rPr>
                <w:rFonts w:ascii="Times New Roman" w:hAnsi="Times New Roman" w:cs="Times New Roman"/>
                <w:sz w:val="20"/>
                <w:szCs w:val="20"/>
              </w:rPr>
              <w:t>(Focșani-Golești-Vîrteșcoiu-Odobești)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B8EB9" w14:textId="5F413AE2" w:rsidR="00FC776D" w:rsidRPr="00FC776D" w:rsidRDefault="00FC776D" w:rsidP="002E5314">
            <w:pPr>
              <w:spacing w:line="259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227</w:t>
            </w:r>
          </w:p>
          <w:p w14:paraId="1BA2C9B0" w14:textId="647CD69A" w:rsidR="00FC776D" w:rsidRPr="00FC776D" w:rsidRDefault="00FC776D" w:rsidP="002E5314">
            <w:pPr>
              <w:spacing w:line="259" w:lineRule="auto"/>
              <w:ind w:left="7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A9F" w14:textId="4780104E" w:rsidR="00FC776D" w:rsidRPr="00FC776D" w:rsidRDefault="00FC776D" w:rsidP="002E5314">
            <w:pPr>
              <w:spacing w:line="259" w:lineRule="auto"/>
              <w:ind w:left="8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772</w:t>
            </w:r>
          </w:p>
          <w:p w14:paraId="1DFA7D89" w14:textId="2441BE5E" w:rsidR="00FC776D" w:rsidRPr="00FC776D" w:rsidRDefault="00FC776D" w:rsidP="002E5314">
            <w:pPr>
              <w:spacing w:line="259" w:lineRule="auto"/>
              <w:ind w:left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A6F2" w14:textId="479DE16B" w:rsidR="00FC776D" w:rsidRPr="00F06C86" w:rsidRDefault="00FC776D" w:rsidP="00C21A3C">
            <w:pPr>
              <w:spacing w:line="259" w:lineRule="auto"/>
              <w:ind w:left="144"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436E"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751E8" w14:textId="3A6E8970" w:rsidR="00FC776D" w:rsidRPr="00F06C86" w:rsidRDefault="00C0436E" w:rsidP="00C21A3C">
            <w:pPr>
              <w:spacing w:line="259" w:lineRule="auto"/>
              <w:ind w:left="1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1674,00</w:t>
            </w:r>
          </w:p>
        </w:tc>
      </w:tr>
      <w:tr w:rsidR="00C0436E" w14:paraId="39333CCE" w14:textId="77777777" w:rsidTr="00E67A98">
        <w:trPr>
          <w:trHeight w:val="53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F021" w14:textId="0A8C9E00" w:rsidR="00FC776D" w:rsidRPr="00FC776D" w:rsidRDefault="00C0436E" w:rsidP="002E5314">
            <w:pPr>
              <w:spacing w:line="259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776D" w:rsidRPr="00FC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086B" w14:textId="661C37A5" w:rsidR="00FC776D" w:rsidRPr="00C0436E" w:rsidRDefault="00FC776D" w:rsidP="002E5314">
            <w:pPr>
              <w:spacing w:line="259" w:lineRule="auto"/>
              <w:ind w:left="7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3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Lot </w:t>
            </w:r>
            <w:r w:rsidR="00C0436E" w:rsidRPr="00C043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2</w:t>
            </w:r>
          </w:p>
          <w:p w14:paraId="38DBB009" w14:textId="30CD3F5F" w:rsidR="00FC776D" w:rsidRPr="00C0436E" w:rsidRDefault="00FC776D" w:rsidP="002E5314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436E">
              <w:rPr>
                <w:rFonts w:ascii="Times New Roman" w:hAnsi="Times New Roman" w:cs="Times New Roman"/>
                <w:sz w:val="24"/>
                <w:szCs w:val="24"/>
              </w:rPr>
              <w:t xml:space="preserve">DJ </w:t>
            </w:r>
            <w:r w:rsidR="00C0436E">
              <w:rPr>
                <w:rFonts w:ascii="Times New Roman" w:hAnsi="Times New Roman" w:cs="Times New Roman"/>
                <w:sz w:val="24"/>
                <w:szCs w:val="24"/>
              </w:rPr>
              <w:t>202E</w:t>
            </w:r>
            <w:r w:rsidRPr="00C0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7A98" w:rsidRPr="00E67A98">
              <w:rPr>
                <w:rFonts w:ascii="Times New Roman" w:hAnsi="Times New Roman" w:cs="Times New Roman"/>
                <w:sz w:val="20"/>
                <w:szCs w:val="20"/>
              </w:rPr>
              <w:t>limită județ Buzău - Voetin - Sihlea - Obrejița - Tâmboiești</w:t>
            </w:r>
            <w:r w:rsidRPr="00E67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7D4" w14:textId="74C694AD" w:rsidR="00FC776D" w:rsidRPr="00C0436E" w:rsidRDefault="00C0436E" w:rsidP="002E5314">
            <w:pPr>
              <w:spacing w:line="259" w:lineRule="auto"/>
              <w:ind w:left="7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210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D2B3" w14:textId="171FD2DF" w:rsidR="00FC776D" w:rsidRPr="00C0436E" w:rsidRDefault="00C21A3C" w:rsidP="002E5314">
            <w:pPr>
              <w:spacing w:line="259" w:lineRule="auto"/>
              <w:ind w:left="8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536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D8F9" w14:textId="6FB3F7C6" w:rsidR="00FC776D" w:rsidRPr="00F06C86" w:rsidRDefault="00C21A3C" w:rsidP="00C21A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C776D"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436E"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C776D"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87ED" w14:textId="308EDACD" w:rsidR="00FC776D" w:rsidRPr="00F06C86" w:rsidRDefault="00C0436E" w:rsidP="00C21A3C">
            <w:pPr>
              <w:spacing w:line="259" w:lineRule="auto"/>
              <w:ind w:left="144"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1705,46</w:t>
            </w:r>
          </w:p>
        </w:tc>
      </w:tr>
    </w:tbl>
    <w:p w14:paraId="73BCCE3C" w14:textId="77777777" w:rsidR="00C0436E" w:rsidRDefault="00C0436E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14:paraId="2CB61971" w14:textId="68ABCA0A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FC776D">
        <w:rPr>
          <w:rFonts w:ascii="Times New Roman" w:hAnsi="Times New Roman" w:cs="Times New Roman"/>
          <w:sz w:val="28"/>
          <w:szCs w:val="28"/>
          <w:lang w:val="ro-RO"/>
        </w:rPr>
        <w:t>Pre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ul de pornire a licita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iei este de:</w:t>
      </w:r>
    </w:p>
    <w:p w14:paraId="60FABCC5" w14:textId="5557EF74" w:rsidR="00FC776D" w:rsidRP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1)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LOTUL 1 -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43,38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lei/mc</w:t>
      </w:r>
    </w:p>
    <w:p w14:paraId="3F0EEBC3" w14:textId="77777777" w:rsidR="00C21A3C" w:rsidRDefault="00C21A3C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FC776D" w:rsidRPr="00825FFB">
        <w:rPr>
          <w:rFonts w:ascii="Times New Roman" w:hAnsi="Times New Roman" w:cs="Times New Roman"/>
          <w:b/>
          <w:bCs/>
          <w:sz w:val="28"/>
          <w:szCs w:val="28"/>
          <w:lang w:val="ro-RO"/>
        </w:rPr>
        <w:t>)</w:t>
      </w:r>
      <w:r w:rsidR="00FC776D"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LOTUL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 </w:t>
      </w:r>
      <w:r w:rsidR="00FC776D" w:rsidRPr="00FC776D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>63,64</w:t>
      </w:r>
      <w:r w:rsidR="00FC776D"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lei /mc </w:t>
      </w:r>
    </w:p>
    <w:p w14:paraId="6AB9B87C" w14:textId="03E47619" w:rsidR="00FC776D" w:rsidRDefault="00FC776D" w:rsidP="00FC776D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FC776D">
        <w:rPr>
          <w:rFonts w:ascii="Times New Roman" w:hAnsi="Times New Roman" w:cs="Times New Roman"/>
          <w:sz w:val="28"/>
          <w:szCs w:val="28"/>
          <w:lang w:val="ro-RO"/>
        </w:rPr>
        <w:t>mas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lemnoas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 xml:space="preserve"> brut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, iar treapta(pasul) de licita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ie este de 5% din pre</w:t>
      </w:r>
      <w:r w:rsidR="00C21A3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C776D">
        <w:rPr>
          <w:rFonts w:ascii="Times New Roman" w:hAnsi="Times New Roman" w:cs="Times New Roman"/>
          <w:sz w:val="28"/>
          <w:szCs w:val="28"/>
          <w:lang w:val="ro-RO"/>
        </w:rPr>
        <w:t>ul de pornire.</w:t>
      </w:r>
    </w:p>
    <w:p w14:paraId="7E4F5215" w14:textId="77777777" w:rsidR="00EC54E2" w:rsidRPr="007C010F" w:rsidRDefault="00EC54E2" w:rsidP="00EC54E2">
      <w:pPr>
        <w:autoSpaceDE w:val="0"/>
        <w:autoSpaceDN w:val="0"/>
        <w:adjustRightInd w:val="0"/>
        <w:spacing w:before="15"/>
        <w:ind w:left="90" w:right="0" w:firstLine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Preţurile nu 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7C010F">
        <w:rPr>
          <w:rFonts w:ascii="Times New Roman" w:hAnsi="Times New Roman" w:cs="Times New Roman"/>
          <w:sz w:val="28"/>
          <w:szCs w:val="28"/>
          <w:lang w:val="x-none"/>
        </w:rPr>
        <w:t>on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7C010F">
        <w:rPr>
          <w:rFonts w:ascii="Times New Roman" w:hAnsi="Times New Roman" w:cs="Times New Roman"/>
          <w:sz w:val="28"/>
          <w:szCs w:val="28"/>
          <w:lang w:val="x-none"/>
        </w:rPr>
        <w:t>in T.V.A.</w:t>
      </w:r>
    </w:p>
    <w:p w14:paraId="7D3F9488" w14:textId="2288F38A" w:rsidR="007C010F" w:rsidRPr="008D3455" w:rsidRDefault="007C010F" w:rsidP="007C010F">
      <w:pPr>
        <w:autoSpaceDE w:val="0"/>
        <w:autoSpaceDN w:val="0"/>
        <w:adjustRightInd w:val="0"/>
        <w:spacing w:before="15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C010F">
        <w:rPr>
          <w:rFonts w:ascii="Times New Roman" w:hAnsi="Times New Roman" w:cs="Times New Roman"/>
          <w:sz w:val="28"/>
          <w:szCs w:val="28"/>
          <w:lang w:val="ro-RO"/>
        </w:rPr>
        <w:t>Garan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 xml:space="preserve">ia de participare la licitație </w:t>
      </w:r>
      <w:r w:rsidRPr="007C010F">
        <w:rPr>
          <w:rFonts w:ascii="Times New Roman" w:eastAsia="Times New Roman" w:hAnsi="Times New Roman" w:cs="Times New Roman"/>
          <w:sz w:val="28"/>
          <w:szCs w:val="28"/>
          <w:lang w:val="ro-RO"/>
        </w:rPr>
        <w:t>(reprezentând 5%din valoarea de pornire a licitației)</w:t>
      </w:r>
      <w:r w:rsidR="008D34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poate depune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in</w:t>
      </w:r>
      <w:r w:rsidR="008D3455" w:rsidRPr="008D3455">
        <w:rPr>
          <w:rFonts w:ascii="Times New Roman" w:hAnsi="Times New Roman" w:cs="Times New Roman"/>
          <w:color w:val="0F0F0F"/>
          <w:spacing w:val="4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contul</w:t>
      </w:r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IBAN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RO83TREZ24A670503200130X, cod fiscal 4350394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 xml:space="preserve">, deschis la Trezoreria Municipiului Focșani, </w:t>
      </w:r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prin unul dintre instrumentele legale de plată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pâna</w:t>
      </w:r>
      <w:r w:rsidR="008D3455" w:rsidRPr="008D3455">
        <w:rPr>
          <w:rFonts w:ascii="Times New Roman" w:hAnsi="Times New Roman" w:cs="Times New Roman"/>
          <w:color w:val="0F0F0F"/>
          <w:spacing w:val="9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la</w:t>
      </w:r>
      <w:r w:rsidR="008D3455" w:rsidRPr="008D3455">
        <w:rPr>
          <w:rFonts w:ascii="Times New Roman" w:hAnsi="Times New Roman" w:cs="Times New Roman"/>
          <w:color w:val="0F0F0F"/>
          <w:spacing w:val="-22"/>
          <w:sz w:val="28"/>
          <w:szCs w:val="28"/>
          <w:lang w:val="ro-RO"/>
        </w:rPr>
        <w:t xml:space="preserve"> î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nceperea</w:t>
      </w:r>
      <w:r w:rsidR="008D3455" w:rsidRPr="008D3455">
        <w:rPr>
          <w:rFonts w:ascii="Times New Roman" w:hAnsi="Times New Roman" w:cs="Times New Roman"/>
          <w:color w:val="0F0F0F"/>
          <w:spacing w:val="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licita</w:t>
      </w:r>
      <w:r w:rsid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ț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iei</w:t>
      </w:r>
      <w:r w:rsidR="008D3455" w:rsidRPr="008D3455">
        <w:rPr>
          <w:rFonts w:ascii="Times New Roman" w:hAnsi="Times New Roman" w:cs="Times New Roman"/>
          <w:color w:val="0F0F0F"/>
          <w:spacing w:val="5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 xml:space="preserve">sau în </w:t>
      </w:r>
      <w:r w:rsidR="008D3455" w:rsidRPr="008D3455">
        <w:rPr>
          <w:rFonts w:ascii="Times New Roman" w:hAnsi="Times New Roman" w:cs="Times New Roman"/>
          <w:color w:val="0F0F0F"/>
          <w:spacing w:val="2"/>
          <w:sz w:val="28"/>
          <w:szCs w:val="28"/>
          <w:lang w:val="ro-RO"/>
        </w:rPr>
        <w:t>numerar</w:t>
      </w:r>
      <w:r w:rsidR="008D3455" w:rsidRPr="008D3455">
        <w:rPr>
          <w:rFonts w:ascii="Times New Roman" w:hAnsi="Times New Roman" w:cs="Times New Roman"/>
          <w:color w:val="0F0F0F"/>
          <w:spacing w:val="1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la</w:t>
      </w:r>
      <w:r w:rsidR="008D3455" w:rsidRPr="008D3455">
        <w:rPr>
          <w:rFonts w:ascii="Times New Roman" w:hAnsi="Times New Roman" w:cs="Times New Roman"/>
          <w:color w:val="0F0F0F"/>
          <w:spacing w:val="-2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casieria</w:t>
      </w:r>
      <w:r w:rsidR="008D3455" w:rsidRPr="008D3455">
        <w:rPr>
          <w:rFonts w:ascii="Times New Roman" w:hAnsi="Times New Roman" w:cs="Times New Roman"/>
          <w:color w:val="0F0F0F"/>
          <w:spacing w:val="1"/>
          <w:sz w:val="28"/>
          <w:szCs w:val="28"/>
          <w:lang w:val="ro-RO"/>
        </w:rPr>
        <w:t xml:space="preserve"> </w:t>
      </w:r>
      <w:r w:rsidR="00AD7CA8">
        <w:rPr>
          <w:rFonts w:ascii="Times New Roman" w:hAnsi="Times New Roman" w:cs="Times New Roman"/>
          <w:color w:val="0F0F0F"/>
          <w:sz w:val="28"/>
          <w:szCs w:val="28"/>
          <w:lang w:val="ro-RO"/>
        </w:rPr>
        <w:t>Consiliului Județean Vrancea</w:t>
      </w:r>
      <w:r w:rsidRPr="008D3455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EDCFB5E" w14:textId="4FA926F0" w:rsidR="004D2D4B" w:rsidRDefault="009C5ABF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Modul de desfășurare a ședin</w:t>
      </w:r>
      <w:r w:rsidR="0065073B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ei de licitație publică cu preselecție, </w:t>
      </w:r>
      <w:r w:rsidR="00246DFF">
        <w:rPr>
          <w:rFonts w:ascii="Times New Roman" w:hAnsi="Times New Roman" w:cs="Times New Roman"/>
          <w:sz w:val="28"/>
          <w:szCs w:val="28"/>
          <w:lang w:val="ro-RO"/>
        </w:rPr>
        <w:t>cu strigare</w:t>
      </w:r>
      <w:r>
        <w:rPr>
          <w:rFonts w:ascii="Times New Roman" w:hAnsi="Times New Roman" w:cs="Times New Roman"/>
          <w:sz w:val="28"/>
          <w:szCs w:val="28"/>
          <w:lang w:val="ro-RO"/>
        </w:rPr>
        <w:t>, este precizat în caietul de s</w:t>
      </w:r>
      <w:r w:rsidR="0065073B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rcini</w:t>
      </w:r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 care poate fi desc</w:t>
      </w:r>
      <w:r w:rsidR="00AD7CA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rcat de pe site-ul Consiliului Județean Vrancea </w:t>
      </w:r>
      <w:hyperlink r:id="rId5" w:history="1">
        <w:r w:rsidR="003429B5" w:rsidRPr="00D5608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www.cjvrancea.ro</w:t>
        </w:r>
      </w:hyperlink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52FC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hyperlink r:id="rId6" w:history="1">
        <w:r w:rsidR="00F152FC" w:rsidRPr="00E24DA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www.produselepadurii.ro</w:t>
        </w:r>
      </w:hyperlink>
      <w:r w:rsidR="00F152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A7CABB8" w14:textId="3DEFDC94" w:rsidR="004C5107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p w14:paraId="35EDEE36" w14:textId="77777777" w:rsidR="00F020CB" w:rsidRDefault="00F020CB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7BD48B14" w14:textId="6923E41D" w:rsidR="004C5107" w:rsidRDefault="00C91DD4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Director Executiv</w:t>
      </w:r>
    </w:p>
    <w:p w14:paraId="2B341D4D" w14:textId="4CC8670A" w:rsidR="004C5107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F25C333" w14:textId="77777777" w:rsidR="004E4748" w:rsidRDefault="004E4748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B0E532C" w14:textId="2555BAF4" w:rsidR="004C5107" w:rsidRDefault="00C91DD4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Șef Birou</w:t>
      </w:r>
    </w:p>
    <w:p w14:paraId="3049C231" w14:textId="3E2AD305" w:rsidR="004C5107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p w14:paraId="18AB9769" w14:textId="21B44F8D" w:rsidR="004C5107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p w14:paraId="1CDBCCAD" w14:textId="0BEE484D" w:rsidR="00E16541" w:rsidRPr="002645A0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sectPr w:rsidR="00E16541" w:rsidRPr="002645A0" w:rsidSect="00880E8C">
      <w:pgSz w:w="12240" w:h="15840"/>
      <w:pgMar w:top="81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361"/>
    <w:multiLevelType w:val="hybridMultilevel"/>
    <w:tmpl w:val="4090665A"/>
    <w:lvl w:ilvl="0" w:tplc="0418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A54E4E"/>
    <w:multiLevelType w:val="hybridMultilevel"/>
    <w:tmpl w:val="AA84F6A6"/>
    <w:lvl w:ilvl="0" w:tplc="96B65B58">
      <w:numFmt w:val="bullet"/>
      <w:lvlText w:val="•"/>
      <w:lvlJc w:val="left"/>
      <w:pPr>
        <w:ind w:left="720" w:hanging="63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0A66574"/>
    <w:multiLevelType w:val="hybridMultilevel"/>
    <w:tmpl w:val="C4E29F72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2E2D6B"/>
    <w:multiLevelType w:val="hybridMultilevel"/>
    <w:tmpl w:val="EEE6AE36"/>
    <w:lvl w:ilvl="0" w:tplc="9724D34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B4225F"/>
    <w:multiLevelType w:val="hybridMultilevel"/>
    <w:tmpl w:val="8A543E4A"/>
    <w:lvl w:ilvl="0" w:tplc="6FEC2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7817"/>
    <w:multiLevelType w:val="hybridMultilevel"/>
    <w:tmpl w:val="BC8E218E"/>
    <w:lvl w:ilvl="0" w:tplc="D284AB14">
      <w:start w:val="1"/>
      <w:numFmt w:val="decimal"/>
      <w:lvlText w:val="%1)"/>
      <w:lvlJc w:val="left"/>
      <w:pPr>
        <w:ind w:left="540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8A3E47"/>
    <w:multiLevelType w:val="hybridMultilevel"/>
    <w:tmpl w:val="B75CC79C"/>
    <w:lvl w:ilvl="0" w:tplc="04180011">
      <w:start w:val="1"/>
      <w:numFmt w:val="decimal"/>
      <w:lvlText w:val="%1)"/>
      <w:lvlJc w:val="left"/>
      <w:pPr>
        <w:ind w:left="63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ADF422F"/>
    <w:multiLevelType w:val="hybridMultilevel"/>
    <w:tmpl w:val="6DDAE3FA"/>
    <w:lvl w:ilvl="0" w:tplc="9EBAC386">
      <w:start w:val="1"/>
      <w:numFmt w:val="lowerLetter"/>
      <w:lvlText w:val="%1)"/>
      <w:lvlJc w:val="left"/>
      <w:pPr>
        <w:ind w:left="3010" w:hanging="340"/>
      </w:pPr>
      <w:rPr>
        <w:rFonts w:ascii="Times New Roman" w:eastAsia="Times New Roman" w:hAnsi="Times New Roman" w:hint="default"/>
        <w:color w:val="0F0F0F"/>
        <w:w w:val="102"/>
        <w:sz w:val="28"/>
        <w:szCs w:val="28"/>
      </w:rPr>
    </w:lvl>
    <w:lvl w:ilvl="1" w:tplc="612E7AEC">
      <w:start w:val="1"/>
      <w:numFmt w:val="bullet"/>
      <w:lvlText w:val="•"/>
      <w:lvlJc w:val="left"/>
      <w:pPr>
        <w:ind w:left="4007" w:hanging="340"/>
      </w:pPr>
      <w:rPr>
        <w:rFonts w:hint="default"/>
      </w:rPr>
    </w:lvl>
    <w:lvl w:ilvl="2" w:tplc="456CB6BE">
      <w:start w:val="1"/>
      <w:numFmt w:val="bullet"/>
      <w:lvlText w:val="•"/>
      <w:lvlJc w:val="left"/>
      <w:pPr>
        <w:ind w:left="5004" w:hanging="340"/>
      </w:pPr>
      <w:rPr>
        <w:rFonts w:hint="default"/>
      </w:rPr>
    </w:lvl>
    <w:lvl w:ilvl="3" w:tplc="2BF608B4">
      <w:start w:val="1"/>
      <w:numFmt w:val="bullet"/>
      <w:lvlText w:val="•"/>
      <w:lvlJc w:val="left"/>
      <w:pPr>
        <w:ind w:left="6001" w:hanging="340"/>
      </w:pPr>
      <w:rPr>
        <w:rFonts w:hint="default"/>
      </w:rPr>
    </w:lvl>
    <w:lvl w:ilvl="4" w:tplc="26222F6A">
      <w:start w:val="1"/>
      <w:numFmt w:val="bullet"/>
      <w:lvlText w:val="•"/>
      <w:lvlJc w:val="left"/>
      <w:pPr>
        <w:ind w:left="6998" w:hanging="340"/>
      </w:pPr>
      <w:rPr>
        <w:rFonts w:hint="default"/>
      </w:rPr>
    </w:lvl>
    <w:lvl w:ilvl="5" w:tplc="68AE378C">
      <w:start w:val="1"/>
      <w:numFmt w:val="bullet"/>
      <w:lvlText w:val="•"/>
      <w:lvlJc w:val="left"/>
      <w:pPr>
        <w:ind w:left="7995" w:hanging="340"/>
      </w:pPr>
      <w:rPr>
        <w:rFonts w:hint="default"/>
      </w:rPr>
    </w:lvl>
    <w:lvl w:ilvl="6" w:tplc="540821F8">
      <w:start w:val="1"/>
      <w:numFmt w:val="bullet"/>
      <w:lvlText w:val="•"/>
      <w:lvlJc w:val="left"/>
      <w:pPr>
        <w:ind w:left="8992" w:hanging="340"/>
      </w:pPr>
      <w:rPr>
        <w:rFonts w:hint="default"/>
      </w:rPr>
    </w:lvl>
    <w:lvl w:ilvl="7" w:tplc="7D245A40">
      <w:start w:val="1"/>
      <w:numFmt w:val="bullet"/>
      <w:lvlText w:val="•"/>
      <w:lvlJc w:val="left"/>
      <w:pPr>
        <w:ind w:left="9989" w:hanging="340"/>
      </w:pPr>
      <w:rPr>
        <w:rFonts w:hint="default"/>
      </w:rPr>
    </w:lvl>
    <w:lvl w:ilvl="8" w:tplc="A2645BC4">
      <w:start w:val="1"/>
      <w:numFmt w:val="bullet"/>
      <w:lvlText w:val="•"/>
      <w:lvlJc w:val="left"/>
      <w:pPr>
        <w:ind w:left="10986" w:hanging="340"/>
      </w:pPr>
      <w:rPr>
        <w:rFonts w:hint="default"/>
      </w:rPr>
    </w:lvl>
  </w:abstractNum>
  <w:abstractNum w:abstractNumId="8" w15:restartNumberingAfterBreak="0">
    <w:nsid w:val="751B6D1D"/>
    <w:multiLevelType w:val="hybridMultilevel"/>
    <w:tmpl w:val="532E758C"/>
    <w:lvl w:ilvl="0" w:tplc="E0F224E8">
      <w:start w:val="3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9157E71"/>
    <w:multiLevelType w:val="hybridMultilevel"/>
    <w:tmpl w:val="6C268E24"/>
    <w:lvl w:ilvl="0" w:tplc="041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A0"/>
    <w:rsid w:val="0000115F"/>
    <w:rsid w:val="000967D9"/>
    <w:rsid w:val="000E145D"/>
    <w:rsid w:val="000F0C1C"/>
    <w:rsid w:val="000F0E00"/>
    <w:rsid w:val="00104AEC"/>
    <w:rsid w:val="0017782B"/>
    <w:rsid w:val="00181EB5"/>
    <w:rsid w:val="00187187"/>
    <w:rsid w:val="001B1265"/>
    <w:rsid w:val="001E1B31"/>
    <w:rsid w:val="001F0677"/>
    <w:rsid w:val="00212CEC"/>
    <w:rsid w:val="00246DFF"/>
    <w:rsid w:val="002645A0"/>
    <w:rsid w:val="00275802"/>
    <w:rsid w:val="00295EB2"/>
    <w:rsid w:val="002A0AAC"/>
    <w:rsid w:val="002E1C00"/>
    <w:rsid w:val="003429B5"/>
    <w:rsid w:val="003B119A"/>
    <w:rsid w:val="003E4F2D"/>
    <w:rsid w:val="00417A6D"/>
    <w:rsid w:val="00463E5E"/>
    <w:rsid w:val="00471ED6"/>
    <w:rsid w:val="0048635F"/>
    <w:rsid w:val="004C5107"/>
    <w:rsid w:val="004D2D4B"/>
    <w:rsid w:val="004E4748"/>
    <w:rsid w:val="004F559E"/>
    <w:rsid w:val="005231A5"/>
    <w:rsid w:val="00526B42"/>
    <w:rsid w:val="00531FEB"/>
    <w:rsid w:val="005408C3"/>
    <w:rsid w:val="005524C8"/>
    <w:rsid w:val="005A0089"/>
    <w:rsid w:val="006056BD"/>
    <w:rsid w:val="00611D49"/>
    <w:rsid w:val="00635EB1"/>
    <w:rsid w:val="0065073B"/>
    <w:rsid w:val="00660BEF"/>
    <w:rsid w:val="006B35BA"/>
    <w:rsid w:val="006D503E"/>
    <w:rsid w:val="007C010F"/>
    <w:rsid w:val="007D15AF"/>
    <w:rsid w:val="00825FFB"/>
    <w:rsid w:val="008372F6"/>
    <w:rsid w:val="00851C38"/>
    <w:rsid w:val="00880E8C"/>
    <w:rsid w:val="008B6F18"/>
    <w:rsid w:val="008C56D8"/>
    <w:rsid w:val="008D3455"/>
    <w:rsid w:val="008E6781"/>
    <w:rsid w:val="008F2C1C"/>
    <w:rsid w:val="00916216"/>
    <w:rsid w:val="009169CF"/>
    <w:rsid w:val="0092430E"/>
    <w:rsid w:val="00974146"/>
    <w:rsid w:val="00976652"/>
    <w:rsid w:val="00992D80"/>
    <w:rsid w:val="009C5ABF"/>
    <w:rsid w:val="009D4668"/>
    <w:rsid w:val="009E6465"/>
    <w:rsid w:val="009E6AC5"/>
    <w:rsid w:val="00A01D04"/>
    <w:rsid w:val="00A23CAB"/>
    <w:rsid w:val="00A33DD0"/>
    <w:rsid w:val="00A3792D"/>
    <w:rsid w:val="00AB0234"/>
    <w:rsid w:val="00AD5045"/>
    <w:rsid w:val="00AD7CA8"/>
    <w:rsid w:val="00B1209D"/>
    <w:rsid w:val="00B134A5"/>
    <w:rsid w:val="00B644D8"/>
    <w:rsid w:val="00B95B6B"/>
    <w:rsid w:val="00C0436E"/>
    <w:rsid w:val="00C21A3C"/>
    <w:rsid w:val="00C41E73"/>
    <w:rsid w:val="00C431BB"/>
    <w:rsid w:val="00C504E8"/>
    <w:rsid w:val="00C5177E"/>
    <w:rsid w:val="00C73500"/>
    <w:rsid w:val="00C73589"/>
    <w:rsid w:val="00C91DD4"/>
    <w:rsid w:val="00CD2FE5"/>
    <w:rsid w:val="00CD380E"/>
    <w:rsid w:val="00D302AF"/>
    <w:rsid w:val="00D32102"/>
    <w:rsid w:val="00DA2A91"/>
    <w:rsid w:val="00DD0FF6"/>
    <w:rsid w:val="00DF1FCF"/>
    <w:rsid w:val="00E16541"/>
    <w:rsid w:val="00E2225D"/>
    <w:rsid w:val="00E3367A"/>
    <w:rsid w:val="00E41663"/>
    <w:rsid w:val="00E5463E"/>
    <w:rsid w:val="00E67A98"/>
    <w:rsid w:val="00EC54E2"/>
    <w:rsid w:val="00ED2314"/>
    <w:rsid w:val="00ED3CFF"/>
    <w:rsid w:val="00EE3F85"/>
    <w:rsid w:val="00EE66C3"/>
    <w:rsid w:val="00F020CB"/>
    <w:rsid w:val="00F032AB"/>
    <w:rsid w:val="00F06C86"/>
    <w:rsid w:val="00F152FC"/>
    <w:rsid w:val="00F34BF5"/>
    <w:rsid w:val="00F61CA4"/>
    <w:rsid w:val="00F90896"/>
    <w:rsid w:val="00F97CFE"/>
    <w:rsid w:val="00FC18EC"/>
    <w:rsid w:val="00FC776D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8A6"/>
  <w15:chartTrackingRefBased/>
  <w15:docId w15:val="{9FF4B453-32FF-4411-B25C-C8E5B7B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259" w:lineRule="auto"/>
        <w:ind w:left="144" w:right="144" w:firstLine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3E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B5"/>
    <w:rPr>
      <w:color w:val="605E5C"/>
      <w:shd w:val="clear" w:color="auto" w:fill="E1DFDD"/>
    </w:rPr>
  </w:style>
  <w:style w:type="table" w:customStyle="1" w:styleId="TableGrid0">
    <w:name w:val="TableGrid"/>
    <w:rsid w:val="00FC776D"/>
    <w:pPr>
      <w:spacing w:before="0" w:beforeAutospacing="0" w:after="0" w:line="240" w:lineRule="auto"/>
      <w:ind w:left="0" w:right="0" w:firstLine="0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uselepadurii.ro" TargetMode="External"/><Relationship Id="rId5" Type="http://schemas.openxmlformats.org/officeDocument/2006/relationships/hyperlink" Target="http://www.cjvranc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ȚUȚUI-PREDAN SANDU</dc:creator>
  <cp:keywords/>
  <dc:description/>
  <cp:lastModifiedBy>Bobeica Iuliana</cp:lastModifiedBy>
  <cp:revision>2</cp:revision>
  <cp:lastPrinted>2020-09-10T08:06:00Z</cp:lastPrinted>
  <dcterms:created xsi:type="dcterms:W3CDTF">2021-02-03T06:24:00Z</dcterms:created>
  <dcterms:modified xsi:type="dcterms:W3CDTF">2021-02-03T06:24:00Z</dcterms:modified>
</cp:coreProperties>
</file>