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58240"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Casetă text 1" o:spid="_x0000_s1026" type="#_x0000_t202" style="position:absolute;left:0;text-align:left;margin-left:0;margin-top:26.65pt;width:451.85pt;height:26.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7932D3E" w14:textId="77777777" w:rsidR="007A185C" w:rsidRDefault="00E755E2" w:rsidP="001F6250">
            <w:pPr>
              <w:spacing w:before="120" w:after="120"/>
              <w:rPr>
                <w:rFonts w:ascii="Times New Roman" w:hAnsi="Times New Roman" w:cs="Times New Roman"/>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w:t>
            </w:r>
            <w:r w:rsidR="004A727B">
              <w:rPr>
                <w:rFonts w:ascii="Times New Roman" w:hAnsi="Times New Roman" w:cs="Times New Roman"/>
                <w:bCs/>
                <w:sz w:val="16"/>
                <w:szCs w:val="16"/>
              </w:rPr>
              <w:t xml:space="preserve"> evenimentului</w:t>
            </w:r>
            <w:r w:rsidR="00326742" w:rsidRPr="00326742">
              <w:rPr>
                <w:rFonts w:ascii="Times New Roman" w:hAnsi="Times New Roman" w:cs="Times New Roman"/>
                <w:bCs/>
                <w:sz w:val="16"/>
                <w:szCs w:val="16"/>
              </w:rPr>
              <w:t xml:space="preserve"> </w:t>
            </w:r>
          </w:p>
          <w:p w14:paraId="2D457001" w14:textId="645B8F3E" w:rsidR="00E755E2" w:rsidRPr="00723384" w:rsidRDefault="007A185C" w:rsidP="001F6250">
            <w:pPr>
              <w:spacing w:before="120" w:after="120"/>
              <w:rPr>
                <w:rFonts w:ascii="Times New Roman" w:hAnsi="Times New Roman" w:cs="Times New Roman"/>
                <w:b/>
                <w:bCs/>
                <w:sz w:val="16"/>
                <w:szCs w:val="16"/>
              </w:rPr>
            </w:pPr>
            <w:r w:rsidRPr="007A185C">
              <w:rPr>
                <w:rFonts w:ascii="Times New Roman" w:hAnsi="Times New Roman" w:cs="Times New Roman"/>
                <w:b/>
                <w:sz w:val="16"/>
                <w:szCs w:val="16"/>
              </w:rPr>
              <w:t>1 iunie 2023 – Ziua Internațională a Copilului</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126488FB" w14:textId="77777777" w:rsidR="007A185C" w:rsidRDefault="001F6250" w:rsidP="001F6250">
            <w:pPr>
              <w:spacing w:before="120" w:after="120"/>
              <w:rPr>
                <w:rFonts w:ascii="Times New Roman" w:hAnsi="Times New Roman" w:cs="Times New Roman"/>
                <w:sz w:val="16"/>
                <w:szCs w:val="16"/>
              </w:rPr>
            </w:pPr>
            <w:r w:rsidRPr="001F6250">
              <w:rPr>
                <w:rFonts w:ascii="Times New Roman" w:hAnsi="Times New Roman" w:cs="Times New Roman"/>
                <w:sz w:val="16"/>
                <w:szCs w:val="16"/>
              </w:rPr>
              <w:t xml:space="preserve">Organizarea evenimentului </w:t>
            </w:r>
          </w:p>
          <w:p w14:paraId="3555ECA3" w14:textId="6D6D3A5A" w:rsidR="00AC3C1C" w:rsidRPr="007C40D5" w:rsidRDefault="007A185C" w:rsidP="001F6250">
            <w:pPr>
              <w:spacing w:before="120" w:after="120"/>
              <w:rPr>
                <w:rFonts w:ascii="Times New Roman" w:hAnsi="Times New Roman" w:cs="Times New Roman"/>
                <w:sz w:val="16"/>
                <w:szCs w:val="16"/>
              </w:rPr>
            </w:pPr>
            <w:r w:rsidRPr="007A185C">
              <w:rPr>
                <w:rFonts w:ascii="Times New Roman" w:hAnsi="Times New Roman" w:cs="Times New Roman"/>
                <w:b/>
                <w:bCs/>
                <w:sz w:val="16"/>
                <w:szCs w:val="16"/>
              </w:rPr>
              <w:t>1 iunie 2023 – Ziua Internațională a Copilului</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58241"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Casetă text 2" o:spid="_x0000_s1027" type="#_x0000_t202" style="position:absolute;margin-left:0;margin-top:19.25pt;width:451.85pt;height:19.0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496F12CE"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(b) La </w:t>
      </w:r>
      <w:r w:rsidRPr="00C520D6">
        <w:rPr>
          <w:rFonts w:ascii="Times New Roman" w:eastAsia="Times New Roman" w:hAnsi="Times New Roman" w:cs="Times New Roman"/>
          <w:sz w:val="16"/>
          <w:szCs w:val="16"/>
          <w:lang w:eastAsia="ro-RO"/>
        </w:rPr>
        <w:t xml:space="preserve">18 </w:t>
      </w:r>
      <w:r w:rsidR="007A185C" w:rsidRPr="00C520D6">
        <w:rPr>
          <w:rFonts w:ascii="Times New Roman" w:eastAsia="Times New Roman" w:hAnsi="Times New Roman" w:cs="Times New Roman"/>
          <w:sz w:val="16"/>
          <w:szCs w:val="16"/>
          <w:lang w:eastAsia="ro-RO"/>
        </w:rPr>
        <w:t>mai</w:t>
      </w:r>
      <w:r w:rsidRPr="00C520D6">
        <w:rPr>
          <w:rFonts w:ascii="Times New Roman" w:eastAsia="Times New Roman" w:hAnsi="Times New Roman" w:cs="Times New Roman"/>
          <w:sz w:val="16"/>
          <w:szCs w:val="16"/>
          <w:lang w:eastAsia="ro-RO"/>
        </w:rPr>
        <w:t xml:space="preserve"> 20</w:t>
      </w:r>
      <w:r w:rsidR="007A185C" w:rsidRPr="00C520D6">
        <w:rPr>
          <w:rFonts w:ascii="Times New Roman" w:eastAsia="Times New Roman" w:hAnsi="Times New Roman" w:cs="Times New Roman"/>
          <w:sz w:val="16"/>
          <w:szCs w:val="16"/>
          <w:lang w:eastAsia="ro-RO"/>
        </w:rPr>
        <w:t>23</w:t>
      </w:r>
      <w:r w:rsidRPr="00C520D6">
        <w:rPr>
          <w:rFonts w:ascii="Times New Roman" w:eastAsia="Times New Roman" w:hAnsi="Times New Roman" w:cs="Times New Roman"/>
          <w:sz w:val="16"/>
          <w:szCs w:val="16"/>
          <w:lang w:eastAsia="ro-RO"/>
        </w:rPr>
        <w:t xml:space="preserve"> </w:t>
      </w:r>
      <w:r w:rsidRPr="007C40D5">
        <w:rPr>
          <w:rFonts w:ascii="Times New Roman" w:eastAsia="Times New Roman" w:hAnsi="Times New Roman" w:cs="Times New Roman"/>
          <w:sz w:val="16"/>
          <w:szCs w:val="16"/>
          <w:lang w:eastAsia="ro-RO"/>
        </w:rPr>
        <w:t>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2"/>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6"/>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7"/>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8"/>
      </w:r>
      <w:r w:rsidR="003F76F3">
        <w:rPr>
          <w:rStyle w:val="Referinnotdesubsol"/>
          <w:rFonts w:ascii="Times New Roman" w:hAnsi="Times New Roman" w:cs="Times New Roman"/>
          <w:sz w:val="16"/>
          <w:szCs w:val="16"/>
        </w:rPr>
        <w:footnoteReference w:id="19"/>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20"/>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75EB" w14:textId="77777777" w:rsidR="00A136AB" w:rsidRDefault="00A136AB" w:rsidP="00BF73A5">
      <w:pPr>
        <w:spacing w:after="0" w:line="240" w:lineRule="auto"/>
      </w:pPr>
      <w:r>
        <w:separator/>
      </w:r>
    </w:p>
  </w:endnote>
  <w:endnote w:type="continuationSeparator" w:id="0">
    <w:p w14:paraId="54A3C4AD" w14:textId="77777777" w:rsidR="00A136AB" w:rsidRDefault="00A136AB" w:rsidP="00BF73A5">
      <w:pPr>
        <w:spacing w:after="0" w:line="240" w:lineRule="auto"/>
      </w:pPr>
      <w:r>
        <w:continuationSeparator/>
      </w:r>
    </w:p>
  </w:endnote>
  <w:endnote w:type="continuationNotice" w:id="1">
    <w:p w14:paraId="510CAD91" w14:textId="77777777" w:rsidR="00A136AB" w:rsidRDefault="00A13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8127" w14:textId="77777777" w:rsidR="00A136AB" w:rsidRDefault="00A136AB" w:rsidP="00BF73A5">
      <w:pPr>
        <w:spacing w:after="0" w:line="240" w:lineRule="auto"/>
      </w:pPr>
      <w:r>
        <w:separator/>
      </w:r>
    </w:p>
  </w:footnote>
  <w:footnote w:type="continuationSeparator" w:id="0">
    <w:p w14:paraId="6B80461B" w14:textId="77777777" w:rsidR="00A136AB" w:rsidRDefault="00A136AB" w:rsidP="00BF73A5">
      <w:pPr>
        <w:spacing w:after="0" w:line="240" w:lineRule="auto"/>
      </w:pPr>
      <w:r>
        <w:continuationSeparator/>
      </w:r>
    </w:p>
  </w:footnote>
  <w:footnote w:type="continuationNotice" w:id="1">
    <w:p w14:paraId="49AE61FA" w14:textId="77777777" w:rsidR="00A136AB" w:rsidRDefault="00A136AB">
      <w:pPr>
        <w:spacing w:after="0" w:line="240" w:lineRule="auto"/>
      </w:pPr>
    </w:p>
  </w:footnote>
  <w:footnote w:id="2">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3">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4">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5">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6">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7">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8">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9">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10">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1">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2">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3">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4">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5">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6">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7">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8">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9">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20">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0F75E2"/>
    <w:rsid w:val="00151B7B"/>
    <w:rsid w:val="00162F6D"/>
    <w:rsid w:val="00183324"/>
    <w:rsid w:val="001907A9"/>
    <w:rsid w:val="001B4969"/>
    <w:rsid w:val="001B6B92"/>
    <w:rsid w:val="001D0AD6"/>
    <w:rsid w:val="001F10CF"/>
    <w:rsid w:val="001F6250"/>
    <w:rsid w:val="00202E61"/>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A727B"/>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A185C"/>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05EA4"/>
    <w:rsid w:val="00A136A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520D6"/>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Antet">
    <w:name w:val="header"/>
    <w:basedOn w:val="Normal"/>
    <w:link w:val="AntetCaracter"/>
    <w:uiPriority w:val="99"/>
    <w:semiHidden/>
    <w:unhideWhenUsed/>
    <w:rsid w:val="00202E61"/>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202E61"/>
  </w:style>
  <w:style w:type="paragraph" w:styleId="Subsol">
    <w:name w:val="footer"/>
    <w:basedOn w:val="Normal"/>
    <w:link w:val="SubsolCaracter"/>
    <w:uiPriority w:val="99"/>
    <w:semiHidden/>
    <w:unhideWhenUsed/>
    <w:rsid w:val="00202E61"/>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20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12</cp:revision>
  <cp:lastPrinted>2021-09-20T07:03:00Z</cp:lastPrinted>
  <dcterms:created xsi:type="dcterms:W3CDTF">2019-09-10T08:29:00Z</dcterms:created>
  <dcterms:modified xsi:type="dcterms:W3CDTF">2023-05-10T08:42:00Z</dcterms:modified>
</cp:coreProperties>
</file>